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2F5C5E" w:rsidRPr="009E2B84" w14:paraId="11EC6C46" w14:textId="77777777" w:rsidTr="00E467FE">
        <w:trPr>
          <w:gridAfter w:val="1"/>
          <w:wAfter w:w="2693" w:type="dxa"/>
          <w:cantSplit/>
          <w:trHeight w:val="569"/>
        </w:trPr>
        <w:tc>
          <w:tcPr>
            <w:tcW w:w="4786" w:type="dxa"/>
            <w:shd w:val="clear" w:color="auto" w:fill="BFBFBF"/>
            <w:vAlign w:val="center"/>
          </w:tcPr>
          <w:p w14:paraId="11EC6C44" w14:textId="77777777" w:rsidR="002F5C5E" w:rsidRPr="009E2B84" w:rsidRDefault="00641B4A" w:rsidP="000C4A67">
            <w:pPr>
              <w:keepNext/>
              <w:shd w:val="clear" w:color="auto" w:fill="BFBFBF"/>
              <w:ind w:left="426" w:hanging="426"/>
              <w:jc w:val="center"/>
              <w:outlineLvl w:val="0"/>
              <w:rPr>
                <w:b/>
              </w:rPr>
            </w:pPr>
            <w:r>
              <w:rPr>
                <w:noProof/>
              </w:rPr>
              <w:drawing>
                <wp:anchor distT="0" distB="0" distL="114300" distR="114300" simplePos="0" relativeHeight="251657216" behindDoc="1" locked="0" layoutInCell="0" allowOverlap="1" wp14:anchorId="11EC6CE2" wp14:editId="11EC6CE3">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410" w:type="dxa"/>
            <w:gridSpan w:val="2"/>
            <w:shd w:val="clear" w:color="auto" w:fill="BFBFBF"/>
            <w:vAlign w:val="center"/>
          </w:tcPr>
          <w:p w14:paraId="11EC6C45" w14:textId="77777777" w:rsidR="002F5C5E" w:rsidRPr="009E2B84" w:rsidRDefault="002F5C5E" w:rsidP="00AC4A99">
            <w:pPr>
              <w:jc w:val="center"/>
              <w:rPr>
                <w:b/>
              </w:rPr>
            </w:pPr>
            <w:r w:rsidRPr="009E2B84">
              <w:rPr>
                <w:b/>
              </w:rPr>
              <w:t>ON</w:t>
            </w:r>
          </w:p>
        </w:tc>
      </w:tr>
      <w:tr w:rsidR="002F5C5E" w:rsidRPr="009E2B84" w14:paraId="11EC6C49" w14:textId="77777777" w:rsidTr="00E467FE">
        <w:trPr>
          <w:gridAfter w:val="1"/>
          <w:wAfter w:w="2693" w:type="dxa"/>
          <w:cantSplit/>
          <w:trHeight w:val="654"/>
        </w:trPr>
        <w:tc>
          <w:tcPr>
            <w:tcW w:w="4786" w:type="dxa"/>
            <w:tcBorders>
              <w:bottom w:val="nil"/>
            </w:tcBorders>
            <w:vAlign w:val="center"/>
          </w:tcPr>
          <w:p w14:paraId="11EC6C47" w14:textId="77777777" w:rsidR="002F5C5E" w:rsidRPr="009E2B84" w:rsidRDefault="00EB2D32" w:rsidP="00E467FE">
            <w:pPr>
              <w:jc w:val="center"/>
              <w:rPr>
                <w:b/>
                <w:sz w:val="24"/>
                <w:szCs w:val="24"/>
              </w:rPr>
            </w:pPr>
            <w:r>
              <w:rPr>
                <w:b/>
                <w:sz w:val="24"/>
                <w:szCs w:val="24"/>
              </w:rPr>
              <w:t xml:space="preserve">      </w:t>
            </w:r>
            <w:r w:rsidR="00E467FE">
              <w:rPr>
                <w:b/>
                <w:sz w:val="24"/>
                <w:szCs w:val="24"/>
              </w:rPr>
              <w:t>Governance C</w:t>
            </w:r>
            <w:r>
              <w:rPr>
                <w:b/>
                <w:sz w:val="24"/>
                <w:szCs w:val="24"/>
              </w:rPr>
              <w:t>ommittee</w:t>
            </w:r>
          </w:p>
        </w:tc>
        <w:tc>
          <w:tcPr>
            <w:tcW w:w="2410" w:type="dxa"/>
            <w:gridSpan w:val="2"/>
            <w:tcBorders>
              <w:bottom w:val="nil"/>
            </w:tcBorders>
            <w:vAlign w:val="center"/>
          </w:tcPr>
          <w:p w14:paraId="11EC6C48" w14:textId="77777777" w:rsidR="002F5C5E" w:rsidRPr="00E467FE" w:rsidRDefault="005935C0" w:rsidP="00D547F2">
            <w:pPr>
              <w:jc w:val="center"/>
              <w:rPr>
                <w:b/>
                <w:szCs w:val="22"/>
              </w:rPr>
            </w:pPr>
            <w:r>
              <w:rPr>
                <w:b/>
                <w:szCs w:val="22"/>
              </w:rPr>
              <w:t>1</w:t>
            </w:r>
            <w:r w:rsidR="00D547F2">
              <w:rPr>
                <w:b/>
                <w:szCs w:val="22"/>
              </w:rPr>
              <w:t>4</w:t>
            </w:r>
            <w:r>
              <w:rPr>
                <w:b/>
                <w:szCs w:val="22"/>
              </w:rPr>
              <w:t xml:space="preserve"> </w:t>
            </w:r>
            <w:r w:rsidR="00D547F2">
              <w:rPr>
                <w:b/>
                <w:szCs w:val="22"/>
              </w:rPr>
              <w:t>March</w:t>
            </w:r>
            <w:r>
              <w:rPr>
                <w:b/>
                <w:szCs w:val="22"/>
              </w:rPr>
              <w:t xml:space="preserve"> 2</w:t>
            </w:r>
            <w:r w:rsidR="00725FC0">
              <w:rPr>
                <w:b/>
                <w:szCs w:val="22"/>
              </w:rPr>
              <w:t>01</w:t>
            </w:r>
            <w:r w:rsidR="00D547F2">
              <w:rPr>
                <w:b/>
                <w:szCs w:val="22"/>
              </w:rPr>
              <w:t>9</w:t>
            </w:r>
          </w:p>
        </w:tc>
      </w:tr>
      <w:tr w:rsidR="002F5C5E" w:rsidRPr="009E2B84" w14:paraId="11EC6C4B" w14:textId="77777777" w:rsidTr="00E467FE">
        <w:trPr>
          <w:gridAfter w:val="1"/>
          <w:wAfter w:w="2693" w:type="dxa"/>
          <w:cantSplit/>
          <w:trHeight w:val="560"/>
        </w:trPr>
        <w:tc>
          <w:tcPr>
            <w:tcW w:w="7196" w:type="dxa"/>
            <w:gridSpan w:val="3"/>
            <w:tcBorders>
              <w:left w:val="nil"/>
              <w:right w:val="nil"/>
            </w:tcBorders>
          </w:tcPr>
          <w:p w14:paraId="11EC6C4A" w14:textId="77777777" w:rsidR="002F5C5E" w:rsidRPr="009E2B84" w:rsidRDefault="00E467FE" w:rsidP="003902A2">
            <w:pPr>
              <w:jc w:val="right"/>
              <w:rPr>
                <w:sz w:val="8"/>
              </w:rPr>
            </w:pPr>
            <w:r>
              <w:rPr>
                <w:sz w:val="8"/>
              </w:rPr>
              <w:t xml:space="preserve">External Audit Annual </w:t>
            </w:r>
          </w:p>
        </w:tc>
      </w:tr>
      <w:tr w:rsidR="0047741D" w:rsidRPr="009E2B84" w14:paraId="11EC6C4E" w14:textId="77777777" w:rsidTr="0047741D">
        <w:trPr>
          <w:cantSplit/>
        </w:trPr>
        <w:tc>
          <w:tcPr>
            <w:tcW w:w="6912" w:type="dxa"/>
            <w:gridSpan w:val="2"/>
            <w:shd w:val="clear" w:color="auto" w:fill="BFBFBF"/>
            <w:vAlign w:val="center"/>
          </w:tcPr>
          <w:p w14:paraId="11EC6C4C"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11EC6C4D" w14:textId="77777777" w:rsidR="0047741D" w:rsidRPr="009E2B84" w:rsidRDefault="0047741D" w:rsidP="00E2196F">
            <w:pPr>
              <w:jc w:val="center"/>
              <w:rPr>
                <w:b/>
              </w:rPr>
            </w:pPr>
            <w:r>
              <w:rPr>
                <w:b/>
              </w:rPr>
              <w:t>REPORT OF</w:t>
            </w:r>
          </w:p>
        </w:tc>
      </w:tr>
      <w:tr w:rsidR="00315D86" w:rsidRPr="009E2B84" w14:paraId="11EC6C51" w14:textId="77777777" w:rsidTr="00E467FE">
        <w:trPr>
          <w:cantSplit/>
          <w:trHeight w:val="1038"/>
        </w:trPr>
        <w:tc>
          <w:tcPr>
            <w:tcW w:w="6912" w:type="dxa"/>
            <w:gridSpan w:val="2"/>
            <w:vAlign w:val="center"/>
          </w:tcPr>
          <w:p w14:paraId="11EC6C4F" w14:textId="77777777" w:rsidR="00315D86" w:rsidRPr="009E2B84" w:rsidRDefault="00D547F2" w:rsidP="00315D86">
            <w:pPr>
              <w:rPr>
                <w:b/>
              </w:rPr>
            </w:pPr>
            <w:r>
              <w:rPr>
                <w:b/>
              </w:rPr>
              <w:t>2018/19</w:t>
            </w:r>
            <w:r w:rsidR="00315D86" w:rsidRPr="005935C0">
              <w:rPr>
                <w:b/>
              </w:rPr>
              <w:t xml:space="preserve"> Closure of Accounts – Approval of Accounting Policies to be included i</w:t>
            </w:r>
            <w:r w:rsidR="00315D86">
              <w:rPr>
                <w:b/>
              </w:rPr>
              <w:t xml:space="preserve">n the Statement of Accounts </w:t>
            </w:r>
            <w:r>
              <w:rPr>
                <w:b/>
              </w:rPr>
              <w:t>2018/19</w:t>
            </w:r>
          </w:p>
        </w:tc>
        <w:tc>
          <w:tcPr>
            <w:tcW w:w="2977" w:type="dxa"/>
            <w:gridSpan w:val="2"/>
            <w:vAlign w:val="center"/>
          </w:tcPr>
          <w:p w14:paraId="11EC6C50" w14:textId="65525D8B" w:rsidR="00315D86" w:rsidRPr="00855A80" w:rsidRDefault="00315D86" w:rsidP="00315D86">
            <w:pPr>
              <w:tabs>
                <w:tab w:val="left" w:pos="2839"/>
              </w:tabs>
              <w:rPr>
                <w:b/>
                <w:i/>
              </w:rPr>
            </w:pPr>
            <w:r w:rsidRPr="00855A80">
              <w:rPr>
                <w:rFonts w:cs="Arial"/>
                <w:b/>
              </w:rPr>
              <w:t>Deputy Chief Executive</w:t>
            </w:r>
            <w:r w:rsidR="00D547F2">
              <w:rPr>
                <w:rFonts w:cs="Arial"/>
                <w:b/>
              </w:rPr>
              <w:t xml:space="preserve">, </w:t>
            </w:r>
            <w:r w:rsidR="00533E6C">
              <w:rPr>
                <w:rFonts w:cs="Arial"/>
                <w:b/>
              </w:rPr>
              <w:t>Resources and</w:t>
            </w:r>
            <w:r w:rsidRPr="00855A80">
              <w:rPr>
                <w:rFonts w:cs="Arial"/>
                <w:b/>
              </w:rPr>
              <w:t xml:space="preserve"> Transformation</w:t>
            </w:r>
            <w:r w:rsidR="00D547F2">
              <w:rPr>
                <w:rFonts w:cs="Arial"/>
                <w:b/>
              </w:rPr>
              <w:t xml:space="preserve"> (</w:t>
            </w:r>
            <w:bookmarkStart w:id="0" w:name="_GoBack"/>
            <w:bookmarkEnd w:id="0"/>
            <w:r w:rsidR="00D547F2">
              <w:rPr>
                <w:rFonts w:cs="Arial"/>
                <w:b/>
              </w:rPr>
              <w:t>S151 Officer)</w:t>
            </w:r>
          </w:p>
        </w:tc>
      </w:tr>
    </w:tbl>
    <w:p w14:paraId="11EC6C52" w14:textId="77777777" w:rsidR="002F5C5E" w:rsidRPr="009E2B84" w:rsidRDefault="002F5C5E" w:rsidP="002F5C5E"/>
    <w:p w14:paraId="11EC6C53"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11EC6C59" w14:textId="77777777" w:rsidTr="00812229">
        <w:trPr>
          <w:trHeight w:val="521"/>
        </w:trPr>
        <w:tc>
          <w:tcPr>
            <w:tcW w:w="6652" w:type="dxa"/>
            <w:shd w:val="clear" w:color="auto" w:fill="auto"/>
          </w:tcPr>
          <w:p w14:paraId="11EC6C54" w14:textId="77777777" w:rsidR="0047741D" w:rsidRDefault="0047741D" w:rsidP="00E2196F">
            <w:pPr>
              <w:rPr>
                <w:szCs w:val="22"/>
              </w:rPr>
            </w:pPr>
          </w:p>
          <w:p w14:paraId="11EC6C55" w14:textId="77777777" w:rsidR="0047741D" w:rsidRDefault="0047741D" w:rsidP="00E2196F">
            <w:pPr>
              <w:rPr>
                <w:szCs w:val="22"/>
              </w:rPr>
            </w:pPr>
            <w:r>
              <w:rPr>
                <w:szCs w:val="22"/>
              </w:rPr>
              <w:t>Is this report confidential?</w:t>
            </w:r>
          </w:p>
          <w:p w14:paraId="11EC6C56" w14:textId="77777777" w:rsidR="00812229" w:rsidRPr="009C1143" w:rsidRDefault="00812229" w:rsidP="00E2196F">
            <w:pPr>
              <w:rPr>
                <w:szCs w:val="22"/>
              </w:rPr>
            </w:pPr>
          </w:p>
        </w:tc>
        <w:tc>
          <w:tcPr>
            <w:tcW w:w="3266" w:type="dxa"/>
            <w:shd w:val="clear" w:color="auto" w:fill="auto"/>
          </w:tcPr>
          <w:p w14:paraId="11EC6C57" w14:textId="77777777" w:rsidR="00812229" w:rsidRDefault="0047741D" w:rsidP="00812229">
            <w:pPr>
              <w:rPr>
                <w:b/>
                <w:szCs w:val="22"/>
              </w:rPr>
            </w:pPr>
            <w:r w:rsidRPr="00F3057A">
              <w:rPr>
                <w:b/>
                <w:szCs w:val="22"/>
              </w:rPr>
              <w:t xml:space="preserve"> </w:t>
            </w:r>
          </w:p>
          <w:p w14:paraId="11EC6C58" w14:textId="77777777" w:rsidR="0047741D" w:rsidRPr="009C1143" w:rsidRDefault="0047741D" w:rsidP="00812229">
            <w:pPr>
              <w:rPr>
                <w:szCs w:val="22"/>
              </w:rPr>
            </w:pPr>
            <w:r w:rsidRPr="00F3057A">
              <w:rPr>
                <w:b/>
                <w:szCs w:val="22"/>
              </w:rPr>
              <w:t xml:space="preserve">No </w:t>
            </w:r>
          </w:p>
        </w:tc>
      </w:tr>
    </w:tbl>
    <w:p w14:paraId="11EC6C5A" w14:textId="77777777" w:rsidR="0047741D" w:rsidRDefault="0047741D" w:rsidP="001467CC">
      <w:pPr>
        <w:jc w:val="both"/>
        <w:rPr>
          <w:sz w:val="16"/>
          <w:szCs w:val="16"/>
        </w:rPr>
      </w:pPr>
    </w:p>
    <w:p w14:paraId="11EC6C5B" w14:textId="77777777" w:rsidR="00EB2D32" w:rsidRPr="009C1143" w:rsidRDefault="00EB2D32" w:rsidP="001467CC">
      <w:pPr>
        <w:jc w:val="both"/>
        <w:rPr>
          <w:sz w:val="16"/>
          <w:szCs w:val="16"/>
        </w:rPr>
      </w:pPr>
    </w:p>
    <w:p w14:paraId="11EC6C5C" w14:textId="77777777" w:rsidR="00812229" w:rsidRDefault="002F5C5E" w:rsidP="001467CC">
      <w:pPr>
        <w:keepNext/>
        <w:numPr>
          <w:ilvl w:val="0"/>
          <w:numId w:val="8"/>
        </w:numPr>
        <w:jc w:val="both"/>
        <w:outlineLvl w:val="0"/>
        <w:rPr>
          <w:b/>
          <w:szCs w:val="22"/>
        </w:rPr>
      </w:pPr>
      <w:r w:rsidRPr="009C1143">
        <w:rPr>
          <w:b/>
          <w:szCs w:val="22"/>
        </w:rPr>
        <w:t xml:space="preserve">PURPOSE OF THE REPORT </w:t>
      </w:r>
    </w:p>
    <w:p w14:paraId="11EC6C5D" w14:textId="77777777" w:rsidR="002F5C5E" w:rsidRPr="009C1143" w:rsidRDefault="002F5C5E" w:rsidP="001467CC">
      <w:pPr>
        <w:keepNext/>
        <w:jc w:val="both"/>
        <w:outlineLvl w:val="0"/>
        <w:rPr>
          <w:b/>
          <w:szCs w:val="22"/>
        </w:rPr>
      </w:pPr>
      <w:r w:rsidRPr="009C1143">
        <w:rPr>
          <w:b/>
          <w:szCs w:val="22"/>
        </w:rPr>
        <w:t xml:space="preserve"> </w:t>
      </w:r>
    </w:p>
    <w:p w14:paraId="11EC6C5E" w14:textId="77777777" w:rsidR="00725FC0" w:rsidRDefault="005320E9" w:rsidP="001467CC">
      <w:pPr>
        <w:ind w:left="360"/>
        <w:jc w:val="both"/>
        <w:rPr>
          <w:szCs w:val="22"/>
        </w:rPr>
      </w:pPr>
      <w:r w:rsidRPr="005320E9">
        <w:rPr>
          <w:szCs w:val="22"/>
        </w:rPr>
        <w:t xml:space="preserve">To present the Statement of Accounting Policies </w:t>
      </w:r>
      <w:r w:rsidR="00D547F2">
        <w:rPr>
          <w:szCs w:val="22"/>
        </w:rPr>
        <w:t>2018/19</w:t>
      </w:r>
      <w:r w:rsidRPr="005320E9">
        <w:rPr>
          <w:szCs w:val="22"/>
        </w:rPr>
        <w:t xml:space="preserve"> for consideration and approval</w:t>
      </w:r>
      <w:r w:rsidR="00F010C1">
        <w:rPr>
          <w:szCs w:val="22"/>
        </w:rPr>
        <w:t xml:space="preserve"> and provide information on the current and future accounting changes in the C</w:t>
      </w:r>
      <w:r w:rsidR="00F010C1" w:rsidRPr="00F010C1">
        <w:rPr>
          <w:szCs w:val="22"/>
        </w:rPr>
        <w:t xml:space="preserve">ode of Practice on Local Authority </w:t>
      </w:r>
      <w:r w:rsidR="00F010C1">
        <w:rPr>
          <w:szCs w:val="22"/>
        </w:rPr>
        <w:t>Accounting in the United Kingdom</w:t>
      </w:r>
      <w:r>
        <w:rPr>
          <w:szCs w:val="22"/>
        </w:rPr>
        <w:t>.</w:t>
      </w:r>
    </w:p>
    <w:p w14:paraId="11EC6C5F" w14:textId="77777777" w:rsidR="006F1494" w:rsidRPr="009C1143" w:rsidRDefault="006F1494" w:rsidP="001467CC">
      <w:pPr>
        <w:ind w:left="360"/>
        <w:jc w:val="both"/>
        <w:rPr>
          <w:szCs w:val="22"/>
        </w:rPr>
      </w:pPr>
    </w:p>
    <w:p w14:paraId="11EC6C60" w14:textId="77777777" w:rsidR="002F5C5E" w:rsidRDefault="002F5C5E" w:rsidP="001467CC">
      <w:pPr>
        <w:keepNext/>
        <w:numPr>
          <w:ilvl w:val="0"/>
          <w:numId w:val="8"/>
        </w:numPr>
        <w:jc w:val="both"/>
        <w:outlineLvl w:val="0"/>
        <w:rPr>
          <w:b/>
          <w:szCs w:val="22"/>
        </w:rPr>
      </w:pPr>
      <w:r w:rsidRPr="009C1143">
        <w:rPr>
          <w:b/>
          <w:szCs w:val="22"/>
        </w:rPr>
        <w:t>RECOMMENDATIONS</w:t>
      </w:r>
    </w:p>
    <w:p w14:paraId="11EC6C61" w14:textId="77777777" w:rsidR="00812229" w:rsidRPr="009C1143" w:rsidRDefault="00812229" w:rsidP="001467CC">
      <w:pPr>
        <w:keepNext/>
        <w:jc w:val="both"/>
        <w:outlineLvl w:val="0"/>
        <w:rPr>
          <w:b/>
          <w:szCs w:val="22"/>
        </w:rPr>
      </w:pPr>
    </w:p>
    <w:p w14:paraId="11EC6C62" w14:textId="77777777" w:rsidR="00812229" w:rsidRPr="001B0F1F" w:rsidRDefault="005320E9" w:rsidP="005320E9">
      <w:pPr>
        <w:numPr>
          <w:ilvl w:val="1"/>
          <w:numId w:val="8"/>
        </w:numPr>
        <w:jc w:val="both"/>
        <w:rPr>
          <w:szCs w:val="22"/>
        </w:rPr>
      </w:pPr>
      <w:r w:rsidRPr="005320E9">
        <w:rPr>
          <w:szCs w:val="22"/>
        </w:rPr>
        <w:t>Consider and approve the State</w:t>
      </w:r>
      <w:r>
        <w:rPr>
          <w:szCs w:val="22"/>
        </w:rPr>
        <w:t xml:space="preserve">ment of Accounting Policies </w:t>
      </w:r>
      <w:r w:rsidR="00D547F2">
        <w:rPr>
          <w:szCs w:val="22"/>
        </w:rPr>
        <w:t>2018/19</w:t>
      </w:r>
      <w:r w:rsidRPr="005320E9">
        <w:rPr>
          <w:szCs w:val="22"/>
        </w:rPr>
        <w:t xml:space="preserve"> at Appendix A.</w:t>
      </w:r>
    </w:p>
    <w:p w14:paraId="11EC6C63" w14:textId="77777777" w:rsidR="002F5C5E" w:rsidRPr="009C1143" w:rsidRDefault="002F5C5E" w:rsidP="001467CC">
      <w:pPr>
        <w:jc w:val="both"/>
        <w:rPr>
          <w:i/>
          <w:color w:val="2E74B5"/>
          <w:szCs w:val="22"/>
        </w:rPr>
      </w:pPr>
    </w:p>
    <w:p w14:paraId="11EC6C64" w14:textId="77777777" w:rsidR="002F5C5E" w:rsidRPr="009C1143" w:rsidRDefault="002F5C5E" w:rsidP="001467CC">
      <w:pPr>
        <w:jc w:val="both"/>
        <w:rPr>
          <w:sz w:val="16"/>
          <w:szCs w:val="16"/>
        </w:rPr>
      </w:pPr>
    </w:p>
    <w:p w14:paraId="11EC6C65" w14:textId="77777777" w:rsidR="002F5C5E" w:rsidRDefault="002F5C5E" w:rsidP="001467CC">
      <w:pPr>
        <w:keepNext/>
        <w:numPr>
          <w:ilvl w:val="0"/>
          <w:numId w:val="8"/>
        </w:numPr>
        <w:jc w:val="both"/>
        <w:outlineLvl w:val="0"/>
        <w:rPr>
          <w:b/>
          <w:szCs w:val="22"/>
        </w:rPr>
      </w:pPr>
      <w:r w:rsidRPr="009C1143">
        <w:rPr>
          <w:b/>
          <w:szCs w:val="22"/>
        </w:rPr>
        <w:t>CORPORATE PRIORITIES</w:t>
      </w:r>
    </w:p>
    <w:p w14:paraId="11EC6C66" w14:textId="77777777" w:rsidR="00FB6093" w:rsidRPr="009C1143" w:rsidRDefault="00FB6093" w:rsidP="001467CC">
      <w:pPr>
        <w:keepNext/>
        <w:jc w:val="both"/>
        <w:outlineLvl w:val="0"/>
        <w:rPr>
          <w:b/>
          <w:szCs w:val="22"/>
        </w:rPr>
      </w:pPr>
    </w:p>
    <w:p w14:paraId="11EC6C67" w14:textId="77777777" w:rsidR="002F5C5E" w:rsidRDefault="002F5C5E" w:rsidP="001467CC">
      <w:pPr>
        <w:keepNext/>
        <w:ind w:left="360"/>
        <w:jc w:val="both"/>
        <w:outlineLvl w:val="0"/>
        <w:rPr>
          <w:b/>
          <w:szCs w:val="22"/>
        </w:rPr>
      </w:pPr>
      <w:r w:rsidRPr="009C1143">
        <w:rPr>
          <w:szCs w:val="22"/>
        </w:rPr>
        <w:t>The report relates to the following corporate priorities</w:t>
      </w:r>
      <w:r w:rsidRPr="009C1143">
        <w:rPr>
          <w:b/>
          <w:szCs w:val="22"/>
        </w:rPr>
        <w:t xml:space="preserve"> </w:t>
      </w:r>
    </w:p>
    <w:p w14:paraId="11EC6C68" w14:textId="77777777" w:rsidR="00136D96" w:rsidRDefault="00136D96" w:rsidP="001467CC">
      <w:pPr>
        <w:keepNext/>
        <w:ind w:left="360"/>
        <w:jc w:val="both"/>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36D96" w:rsidRPr="008770BE" w14:paraId="11EC6C6C" w14:textId="77777777" w:rsidTr="003A7D3D">
        <w:tc>
          <w:tcPr>
            <w:tcW w:w="4423" w:type="dxa"/>
            <w:shd w:val="clear" w:color="auto" w:fill="auto"/>
          </w:tcPr>
          <w:p w14:paraId="11EC6C69" w14:textId="77777777" w:rsidR="00136D96" w:rsidRPr="000828CC" w:rsidRDefault="00136D96" w:rsidP="003A7D3D">
            <w:pPr>
              <w:rPr>
                <w:szCs w:val="22"/>
              </w:rPr>
            </w:pPr>
            <w:r w:rsidRPr="000828CC">
              <w:rPr>
                <w:szCs w:val="22"/>
              </w:rPr>
              <w:t>Excellence and Financial Sustainability</w:t>
            </w:r>
          </w:p>
          <w:p w14:paraId="11EC6C6A" w14:textId="77777777" w:rsidR="00136D96" w:rsidRPr="000828CC" w:rsidRDefault="00136D96" w:rsidP="003A7D3D">
            <w:pPr>
              <w:rPr>
                <w:szCs w:val="22"/>
              </w:rPr>
            </w:pPr>
          </w:p>
        </w:tc>
        <w:tc>
          <w:tcPr>
            <w:tcW w:w="850" w:type="dxa"/>
            <w:shd w:val="clear" w:color="auto" w:fill="auto"/>
          </w:tcPr>
          <w:p w14:paraId="11EC6C6B" w14:textId="77777777" w:rsidR="00136D96" w:rsidRPr="008770BE" w:rsidRDefault="00136D96" w:rsidP="003A7D3D">
            <w:pPr>
              <w:rPr>
                <w:szCs w:val="22"/>
                <w:highlight w:val="yellow"/>
              </w:rPr>
            </w:pPr>
            <w:r w:rsidRPr="00691A67">
              <w:rPr>
                <w:sz w:val="44"/>
                <w:szCs w:val="44"/>
              </w:rPr>
              <w:sym w:font="Wingdings" w:char="F0FC"/>
            </w:r>
          </w:p>
        </w:tc>
      </w:tr>
      <w:tr w:rsidR="00136D96" w:rsidRPr="008770BE" w14:paraId="11EC6C70" w14:textId="77777777" w:rsidTr="003A7D3D">
        <w:tc>
          <w:tcPr>
            <w:tcW w:w="4423" w:type="dxa"/>
            <w:shd w:val="clear" w:color="auto" w:fill="auto"/>
          </w:tcPr>
          <w:p w14:paraId="11EC6C6D" w14:textId="77777777" w:rsidR="00136D96" w:rsidRPr="000828CC" w:rsidRDefault="00136D96" w:rsidP="003A7D3D">
            <w:pPr>
              <w:rPr>
                <w:szCs w:val="22"/>
              </w:rPr>
            </w:pPr>
            <w:r w:rsidRPr="000828CC">
              <w:rPr>
                <w:szCs w:val="22"/>
              </w:rPr>
              <w:t>Health and Wellbeing</w:t>
            </w:r>
          </w:p>
          <w:p w14:paraId="11EC6C6E" w14:textId="77777777" w:rsidR="00136D96" w:rsidRPr="000828CC" w:rsidRDefault="00136D96" w:rsidP="003A7D3D">
            <w:pPr>
              <w:rPr>
                <w:szCs w:val="22"/>
              </w:rPr>
            </w:pPr>
          </w:p>
        </w:tc>
        <w:tc>
          <w:tcPr>
            <w:tcW w:w="850" w:type="dxa"/>
            <w:shd w:val="clear" w:color="auto" w:fill="auto"/>
          </w:tcPr>
          <w:p w14:paraId="11EC6C6F" w14:textId="77777777" w:rsidR="00136D96" w:rsidRPr="008770BE" w:rsidRDefault="00136D96" w:rsidP="003A7D3D">
            <w:pPr>
              <w:rPr>
                <w:szCs w:val="22"/>
                <w:highlight w:val="yellow"/>
              </w:rPr>
            </w:pPr>
          </w:p>
        </w:tc>
      </w:tr>
      <w:tr w:rsidR="00136D96" w:rsidRPr="009C1143" w14:paraId="11EC6C74" w14:textId="77777777" w:rsidTr="003A7D3D">
        <w:tc>
          <w:tcPr>
            <w:tcW w:w="4423" w:type="dxa"/>
            <w:shd w:val="clear" w:color="auto" w:fill="auto"/>
          </w:tcPr>
          <w:p w14:paraId="11EC6C71" w14:textId="77777777" w:rsidR="00136D96" w:rsidRPr="000828CC" w:rsidRDefault="00136D96" w:rsidP="003A7D3D">
            <w:pPr>
              <w:rPr>
                <w:szCs w:val="22"/>
              </w:rPr>
            </w:pPr>
            <w:r w:rsidRPr="000828CC">
              <w:rPr>
                <w:szCs w:val="22"/>
              </w:rPr>
              <w:t>Place</w:t>
            </w:r>
          </w:p>
          <w:p w14:paraId="11EC6C72" w14:textId="77777777" w:rsidR="00136D96" w:rsidRPr="000828CC" w:rsidRDefault="00136D96" w:rsidP="003A7D3D">
            <w:pPr>
              <w:rPr>
                <w:szCs w:val="22"/>
              </w:rPr>
            </w:pPr>
          </w:p>
        </w:tc>
        <w:tc>
          <w:tcPr>
            <w:tcW w:w="850" w:type="dxa"/>
            <w:shd w:val="clear" w:color="auto" w:fill="auto"/>
          </w:tcPr>
          <w:p w14:paraId="11EC6C73" w14:textId="77777777" w:rsidR="00136D96" w:rsidRPr="009C1143" w:rsidRDefault="00136D96" w:rsidP="003A7D3D">
            <w:pPr>
              <w:rPr>
                <w:szCs w:val="22"/>
              </w:rPr>
            </w:pPr>
          </w:p>
        </w:tc>
      </w:tr>
    </w:tbl>
    <w:p w14:paraId="11EC6C75" w14:textId="77777777" w:rsidR="00136D96" w:rsidRDefault="00136D96" w:rsidP="00136D96"/>
    <w:p w14:paraId="11EC6C76" w14:textId="77777777" w:rsidR="00136D96" w:rsidRDefault="00136D96" w:rsidP="00136D96">
      <w:pPr>
        <w:ind w:firstLine="720"/>
      </w:pPr>
      <w:r>
        <w:t>Projects relating to People in the Corporate Plan:</w:t>
      </w:r>
    </w:p>
    <w:p w14:paraId="11EC6C77" w14:textId="77777777" w:rsidR="00136D96" w:rsidRDefault="00136D96" w:rsidP="00136D9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36D96" w:rsidRPr="009C1143" w14:paraId="11EC6C7B" w14:textId="77777777" w:rsidTr="003A7D3D">
        <w:tc>
          <w:tcPr>
            <w:tcW w:w="4423" w:type="dxa"/>
            <w:shd w:val="clear" w:color="auto" w:fill="auto"/>
          </w:tcPr>
          <w:p w14:paraId="11EC6C78" w14:textId="77777777" w:rsidR="00136D96" w:rsidRDefault="00136D96" w:rsidP="003A7D3D">
            <w:pPr>
              <w:rPr>
                <w:szCs w:val="22"/>
              </w:rPr>
            </w:pPr>
            <w:r>
              <w:rPr>
                <w:szCs w:val="22"/>
              </w:rPr>
              <w:t xml:space="preserve">People </w:t>
            </w:r>
          </w:p>
          <w:p w14:paraId="11EC6C79" w14:textId="77777777" w:rsidR="00136D96" w:rsidRPr="000828CC" w:rsidRDefault="00136D96" w:rsidP="003A7D3D">
            <w:pPr>
              <w:rPr>
                <w:szCs w:val="22"/>
              </w:rPr>
            </w:pPr>
          </w:p>
        </w:tc>
        <w:tc>
          <w:tcPr>
            <w:tcW w:w="850" w:type="dxa"/>
            <w:shd w:val="clear" w:color="auto" w:fill="auto"/>
          </w:tcPr>
          <w:p w14:paraId="11EC6C7A" w14:textId="77777777" w:rsidR="00136D96" w:rsidRPr="009C1143" w:rsidRDefault="00136D96" w:rsidP="003A7D3D">
            <w:pPr>
              <w:rPr>
                <w:szCs w:val="22"/>
              </w:rPr>
            </w:pPr>
          </w:p>
        </w:tc>
      </w:tr>
    </w:tbl>
    <w:p w14:paraId="11EC6C7C" w14:textId="77777777" w:rsidR="00136D96" w:rsidRPr="009C1143" w:rsidRDefault="00136D96" w:rsidP="001467CC">
      <w:pPr>
        <w:keepNext/>
        <w:ind w:left="360"/>
        <w:jc w:val="both"/>
        <w:outlineLvl w:val="0"/>
        <w:rPr>
          <w:b/>
          <w:szCs w:val="22"/>
        </w:rPr>
      </w:pPr>
    </w:p>
    <w:p w14:paraId="11EC6C7D" w14:textId="77777777" w:rsidR="002F5C5E" w:rsidRPr="009C1143" w:rsidRDefault="002F5C5E" w:rsidP="001467CC">
      <w:pPr>
        <w:jc w:val="both"/>
        <w:rPr>
          <w:szCs w:val="22"/>
        </w:rPr>
      </w:pPr>
    </w:p>
    <w:p w14:paraId="11EC6C7E" w14:textId="77777777" w:rsidR="005320E9" w:rsidRPr="009C1143" w:rsidRDefault="005320E9" w:rsidP="005320E9">
      <w:pPr>
        <w:keepNext/>
        <w:numPr>
          <w:ilvl w:val="0"/>
          <w:numId w:val="8"/>
        </w:numPr>
        <w:outlineLvl w:val="0"/>
        <w:rPr>
          <w:b/>
          <w:szCs w:val="22"/>
        </w:rPr>
      </w:pPr>
      <w:r w:rsidRPr="009C1143">
        <w:rPr>
          <w:b/>
          <w:szCs w:val="22"/>
        </w:rPr>
        <w:t>BACKGROUND TO THE REPORT</w:t>
      </w:r>
      <w:r>
        <w:rPr>
          <w:b/>
          <w:szCs w:val="22"/>
        </w:rPr>
        <w:t xml:space="preserve"> – STATEMENT OF ACCOUNTIING POLICIES </w:t>
      </w:r>
      <w:r w:rsidR="00057C90">
        <w:rPr>
          <w:b/>
          <w:szCs w:val="22"/>
        </w:rPr>
        <w:t>2018/19</w:t>
      </w:r>
    </w:p>
    <w:p w14:paraId="11EC6C7F" w14:textId="77777777" w:rsidR="005320E9" w:rsidRDefault="005320E9" w:rsidP="005320E9">
      <w:pPr>
        <w:ind w:left="360"/>
        <w:rPr>
          <w:szCs w:val="22"/>
        </w:rPr>
      </w:pPr>
    </w:p>
    <w:p w14:paraId="11EC6C80" w14:textId="77777777" w:rsidR="005320E9" w:rsidRDefault="005320E9" w:rsidP="005320E9">
      <w:pPr>
        <w:numPr>
          <w:ilvl w:val="1"/>
          <w:numId w:val="8"/>
        </w:numPr>
        <w:jc w:val="both"/>
        <w:rPr>
          <w:szCs w:val="22"/>
        </w:rPr>
      </w:pPr>
      <w:r>
        <w:rPr>
          <w:szCs w:val="22"/>
        </w:rPr>
        <w:t xml:space="preserve">The CIPFA Code of Practice on Local Authority Accounting in the United Kingdom defines </w:t>
      </w:r>
      <w:r w:rsidRPr="00691A67">
        <w:rPr>
          <w:szCs w:val="22"/>
        </w:rPr>
        <w:t xml:space="preserve">Accounting Policies </w:t>
      </w:r>
      <w:r>
        <w:rPr>
          <w:szCs w:val="22"/>
        </w:rPr>
        <w:t>as</w:t>
      </w:r>
      <w:r w:rsidRPr="00691A67">
        <w:rPr>
          <w:szCs w:val="22"/>
        </w:rPr>
        <w:t xml:space="preserve"> </w:t>
      </w:r>
      <w:r>
        <w:rPr>
          <w:szCs w:val="22"/>
        </w:rPr>
        <w:t>“</w:t>
      </w:r>
      <w:r w:rsidRPr="00691A67">
        <w:rPr>
          <w:szCs w:val="22"/>
        </w:rPr>
        <w:t>the specific principles, bases,</w:t>
      </w:r>
      <w:r>
        <w:rPr>
          <w:szCs w:val="22"/>
        </w:rPr>
        <w:t xml:space="preserve"> </w:t>
      </w:r>
      <w:r w:rsidRPr="00691A67">
        <w:rPr>
          <w:szCs w:val="22"/>
        </w:rPr>
        <w:t>conventions, rules and practices applied by the Authority in preparing financial statements</w:t>
      </w:r>
      <w:r>
        <w:rPr>
          <w:szCs w:val="22"/>
        </w:rPr>
        <w:t>”.</w:t>
      </w:r>
      <w:r w:rsidRPr="00691A67">
        <w:rPr>
          <w:szCs w:val="22"/>
        </w:rPr>
        <w:t xml:space="preserve"> </w:t>
      </w:r>
      <w:r w:rsidRPr="00A90954">
        <w:rPr>
          <w:szCs w:val="22"/>
        </w:rPr>
        <w:t>Accounting policies are the cornerstone of an organi</w:t>
      </w:r>
      <w:r>
        <w:rPr>
          <w:szCs w:val="22"/>
        </w:rPr>
        <w:t>s</w:t>
      </w:r>
      <w:r w:rsidRPr="00A90954">
        <w:rPr>
          <w:szCs w:val="22"/>
        </w:rPr>
        <w:t>ation’s financial control environment, bridging</w:t>
      </w:r>
      <w:r>
        <w:rPr>
          <w:szCs w:val="22"/>
        </w:rPr>
        <w:t xml:space="preserve"> </w:t>
      </w:r>
      <w:r w:rsidRPr="00A90954">
        <w:rPr>
          <w:szCs w:val="22"/>
        </w:rPr>
        <w:t>the gap between technical accounting</w:t>
      </w:r>
      <w:r>
        <w:rPr>
          <w:szCs w:val="22"/>
        </w:rPr>
        <w:t xml:space="preserve"> </w:t>
      </w:r>
      <w:r w:rsidRPr="00A90954">
        <w:rPr>
          <w:szCs w:val="22"/>
        </w:rPr>
        <w:t>literature and business practices</w:t>
      </w:r>
      <w:r>
        <w:rPr>
          <w:szCs w:val="22"/>
        </w:rPr>
        <w:t>, explaining how we apply accounting standards in practice and what discretion we have applied in adopting accounting standards should there be any discretion available.</w:t>
      </w:r>
    </w:p>
    <w:p w14:paraId="11EC6C81" w14:textId="77777777" w:rsidR="005320E9" w:rsidRDefault="005320E9" w:rsidP="005320E9">
      <w:pPr>
        <w:jc w:val="both"/>
        <w:rPr>
          <w:szCs w:val="22"/>
        </w:rPr>
      </w:pPr>
    </w:p>
    <w:p w14:paraId="11EC6C82" w14:textId="77777777" w:rsidR="005320E9" w:rsidRPr="00F010C1" w:rsidRDefault="005320E9" w:rsidP="0092607C">
      <w:pPr>
        <w:numPr>
          <w:ilvl w:val="1"/>
          <w:numId w:val="8"/>
        </w:numPr>
        <w:jc w:val="both"/>
        <w:rPr>
          <w:szCs w:val="22"/>
        </w:rPr>
      </w:pPr>
      <w:r w:rsidRPr="00F010C1">
        <w:rPr>
          <w:szCs w:val="22"/>
        </w:rPr>
        <w:lastRenderedPageBreak/>
        <w:t>It is recommended by our External Auditors, considered best practice and in line with proper accounting practices that the proposed accounting policies for the year, which will form part of the published Statement of Accounts, are approved each year by the Governance Committee. Accordingly, present</w:t>
      </w:r>
      <w:r w:rsidR="00F010C1">
        <w:rPr>
          <w:szCs w:val="22"/>
        </w:rPr>
        <w:t>ed</w:t>
      </w:r>
      <w:r w:rsidRPr="00F010C1">
        <w:rPr>
          <w:szCs w:val="22"/>
        </w:rPr>
        <w:t xml:space="preserve"> at Appendix A </w:t>
      </w:r>
      <w:r w:rsidR="00F010C1">
        <w:rPr>
          <w:szCs w:val="22"/>
        </w:rPr>
        <w:t xml:space="preserve">are </w:t>
      </w:r>
      <w:r w:rsidRPr="00F010C1">
        <w:rPr>
          <w:szCs w:val="22"/>
        </w:rPr>
        <w:t>the Statement</w:t>
      </w:r>
      <w:r w:rsidR="00F010C1">
        <w:rPr>
          <w:szCs w:val="22"/>
        </w:rPr>
        <w:t xml:space="preserve"> of Accounting Policies for </w:t>
      </w:r>
      <w:r w:rsidR="00D547F2">
        <w:rPr>
          <w:szCs w:val="22"/>
        </w:rPr>
        <w:t>2018/19</w:t>
      </w:r>
      <w:r w:rsidR="00057C90">
        <w:rPr>
          <w:szCs w:val="22"/>
        </w:rPr>
        <w:t>.</w:t>
      </w:r>
    </w:p>
    <w:p w14:paraId="11EC6C83" w14:textId="77777777" w:rsidR="005320E9" w:rsidRPr="00691A67" w:rsidRDefault="005320E9" w:rsidP="005320E9">
      <w:pPr>
        <w:ind w:left="360"/>
        <w:rPr>
          <w:szCs w:val="22"/>
        </w:rPr>
      </w:pPr>
    </w:p>
    <w:p w14:paraId="11EC6C84" w14:textId="77777777" w:rsidR="005320E9" w:rsidRDefault="005320E9" w:rsidP="005320E9">
      <w:pPr>
        <w:numPr>
          <w:ilvl w:val="1"/>
          <w:numId w:val="8"/>
        </w:numPr>
        <w:jc w:val="both"/>
        <w:rPr>
          <w:szCs w:val="22"/>
        </w:rPr>
      </w:pPr>
      <w:r w:rsidRPr="006A37A3">
        <w:rPr>
          <w:szCs w:val="22"/>
        </w:rPr>
        <w:t>Accounting standards allow some flexibility in choice of methods that can be applied to a specific class of transactions. However, in order to prevent manipulation, a</w:t>
      </w:r>
      <w:r>
        <w:rPr>
          <w:szCs w:val="22"/>
        </w:rPr>
        <w:t>n</w:t>
      </w:r>
      <w:r w:rsidRPr="006A37A3">
        <w:rPr>
          <w:szCs w:val="22"/>
        </w:rPr>
        <w:t xml:space="preserve"> </w:t>
      </w:r>
      <w:r>
        <w:rPr>
          <w:szCs w:val="22"/>
        </w:rPr>
        <w:t>organisation</w:t>
      </w:r>
      <w:r w:rsidRPr="006A37A3">
        <w:rPr>
          <w:szCs w:val="22"/>
        </w:rPr>
        <w:t xml:space="preserve"> changing its accounting policy must have a strong reason for any such change. Further, it is required to present its new financial statements as if it followed the newly adopted policy since the day it started business. In other words, accounting standards require any change in accounting policy to be presented with retrospective application. The effect of such application would be that the change will be reflected in p</w:t>
      </w:r>
      <w:r>
        <w:rPr>
          <w:szCs w:val="22"/>
        </w:rPr>
        <w:t>ast, present and future periods with disclosures in the accounts to show the impact of those changes.</w:t>
      </w:r>
    </w:p>
    <w:p w14:paraId="11EC6C85" w14:textId="77777777" w:rsidR="005320E9" w:rsidRDefault="005320E9" w:rsidP="005320E9">
      <w:pPr>
        <w:ind w:left="360"/>
        <w:jc w:val="both"/>
        <w:rPr>
          <w:szCs w:val="22"/>
        </w:rPr>
      </w:pPr>
    </w:p>
    <w:p w14:paraId="11EC6C86" w14:textId="77777777" w:rsidR="005320E9" w:rsidRDefault="005320E9" w:rsidP="00D55466">
      <w:pPr>
        <w:numPr>
          <w:ilvl w:val="1"/>
          <w:numId w:val="8"/>
        </w:numPr>
        <w:jc w:val="both"/>
        <w:rPr>
          <w:szCs w:val="22"/>
        </w:rPr>
      </w:pPr>
      <w:r>
        <w:rPr>
          <w:szCs w:val="22"/>
        </w:rPr>
        <w:t>Shared Financial Services</w:t>
      </w:r>
      <w:r w:rsidRPr="00691A67">
        <w:rPr>
          <w:szCs w:val="22"/>
        </w:rPr>
        <w:t xml:space="preserve"> review the </w:t>
      </w:r>
      <w:r>
        <w:rPr>
          <w:szCs w:val="22"/>
        </w:rPr>
        <w:t>accounting p</w:t>
      </w:r>
      <w:r w:rsidRPr="00691A67">
        <w:rPr>
          <w:szCs w:val="22"/>
        </w:rPr>
        <w:t>olicies each year</w:t>
      </w:r>
      <w:r>
        <w:rPr>
          <w:szCs w:val="22"/>
        </w:rPr>
        <w:t xml:space="preserve"> to consider if any changes are necessary in light of any changes in</w:t>
      </w:r>
      <w:r w:rsidRPr="00691A67">
        <w:rPr>
          <w:szCs w:val="22"/>
        </w:rPr>
        <w:t xml:space="preserve"> </w:t>
      </w:r>
      <w:r>
        <w:rPr>
          <w:szCs w:val="22"/>
        </w:rPr>
        <w:t xml:space="preserve">working practice, changes in the requirements of the CIPFA Code of Practice on Local Authority Accounting in the United Kingdom and </w:t>
      </w:r>
      <w:r w:rsidRPr="00691A67">
        <w:rPr>
          <w:szCs w:val="22"/>
        </w:rPr>
        <w:t>any new accounting</w:t>
      </w:r>
      <w:r>
        <w:rPr>
          <w:szCs w:val="22"/>
        </w:rPr>
        <w:t xml:space="preserve"> </w:t>
      </w:r>
      <w:r w:rsidRPr="00691A67">
        <w:rPr>
          <w:szCs w:val="22"/>
        </w:rPr>
        <w:t>standards</w:t>
      </w:r>
      <w:r>
        <w:rPr>
          <w:szCs w:val="22"/>
        </w:rPr>
        <w:t xml:space="preserve"> adopted.</w:t>
      </w:r>
    </w:p>
    <w:p w14:paraId="11EC6C87" w14:textId="77777777" w:rsidR="005320E9" w:rsidRDefault="005320E9" w:rsidP="005320E9">
      <w:pPr>
        <w:ind w:left="360"/>
        <w:rPr>
          <w:szCs w:val="22"/>
        </w:rPr>
      </w:pPr>
    </w:p>
    <w:p w14:paraId="11EC6C88" w14:textId="77777777" w:rsidR="00057C90" w:rsidRPr="00057C90" w:rsidRDefault="00593CC8" w:rsidP="00057C90">
      <w:pPr>
        <w:numPr>
          <w:ilvl w:val="1"/>
          <w:numId w:val="8"/>
        </w:numPr>
        <w:jc w:val="both"/>
        <w:rPr>
          <w:rFonts w:cs="Arial"/>
          <w:szCs w:val="22"/>
        </w:rPr>
      </w:pPr>
      <w:r>
        <w:rPr>
          <w:szCs w:val="22"/>
        </w:rPr>
        <w:t xml:space="preserve">Changes to the </w:t>
      </w:r>
      <w:r w:rsidR="00D547F2">
        <w:rPr>
          <w:szCs w:val="22"/>
        </w:rPr>
        <w:t>2018/19</w:t>
      </w:r>
      <w:r w:rsidR="005320E9">
        <w:rPr>
          <w:szCs w:val="22"/>
        </w:rPr>
        <w:t xml:space="preserve"> Statement of Accounting Policies</w:t>
      </w:r>
      <w:r w:rsidR="00057C90">
        <w:rPr>
          <w:szCs w:val="22"/>
        </w:rPr>
        <w:t>, other than minor textual amendments</w:t>
      </w:r>
      <w:r w:rsidR="005320E9">
        <w:rPr>
          <w:szCs w:val="22"/>
        </w:rPr>
        <w:t xml:space="preserve"> are </w:t>
      </w:r>
      <w:r w:rsidR="00057C90">
        <w:rPr>
          <w:szCs w:val="22"/>
        </w:rPr>
        <w:t xml:space="preserve">highlighted in yellow in the text in </w:t>
      </w:r>
      <w:r w:rsidR="005320E9">
        <w:rPr>
          <w:szCs w:val="22"/>
        </w:rPr>
        <w:t xml:space="preserve">Appendix A. </w:t>
      </w:r>
      <w:r w:rsidR="00057C90" w:rsidRPr="00057C90">
        <w:rPr>
          <w:szCs w:val="22"/>
        </w:rPr>
        <w:t xml:space="preserve">These changes are in respect of </w:t>
      </w:r>
      <w:r w:rsidR="00057C90" w:rsidRPr="00057C90">
        <w:rPr>
          <w:rFonts w:cs="Arial"/>
          <w:szCs w:val="22"/>
        </w:rPr>
        <w:t>revised accounting requirements for:</w:t>
      </w:r>
    </w:p>
    <w:p w14:paraId="11EC6C89" w14:textId="77777777" w:rsidR="00057C90" w:rsidRPr="00057C90" w:rsidRDefault="00057C90" w:rsidP="00057C90">
      <w:pPr>
        <w:pStyle w:val="ListParagraph"/>
        <w:numPr>
          <w:ilvl w:val="0"/>
          <w:numId w:val="24"/>
        </w:numPr>
        <w:jc w:val="both"/>
        <w:rPr>
          <w:rFonts w:ascii="Arial" w:hAnsi="Arial" w:cs="Arial"/>
        </w:rPr>
      </w:pPr>
      <w:r w:rsidRPr="00057C90">
        <w:rPr>
          <w:rFonts w:ascii="Arial" w:hAnsi="Arial" w:cs="Arial"/>
        </w:rPr>
        <w:t>recognition of revenue income, and</w:t>
      </w:r>
    </w:p>
    <w:p w14:paraId="11EC6C8A" w14:textId="77777777" w:rsidR="00057C90" w:rsidRPr="00057C90" w:rsidRDefault="00057C90" w:rsidP="00057C90">
      <w:pPr>
        <w:pStyle w:val="ListParagraph"/>
        <w:numPr>
          <w:ilvl w:val="0"/>
          <w:numId w:val="24"/>
        </w:numPr>
        <w:jc w:val="both"/>
        <w:rPr>
          <w:rFonts w:ascii="Arial" w:hAnsi="Arial" w:cs="Arial"/>
        </w:rPr>
      </w:pPr>
      <w:r w:rsidRPr="00057C90">
        <w:rPr>
          <w:rFonts w:ascii="Arial" w:hAnsi="Arial" w:cs="Arial"/>
        </w:rPr>
        <w:t>presentation of information in respect of investments and other financial assets.</w:t>
      </w:r>
    </w:p>
    <w:p w14:paraId="11EC6C8B" w14:textId="77777777" w:rsidR="005320E9" w:rsidRDefault="005320E9" w:rsidP="00D55466">
      <w:pPr>
        <w:ind w:left="720"/>
        <w:rPr>
          <w:szCs w:val="22"/>
        </w:rPr>
      </w:pPr>
      <w:r>
        <w:rPr>
          <w:szCs w:val="22"/>
        </w:rPr>
        <w:t xml:space="preserve">It should be noted that the accounting policies may be </w:t>
      </w:r>
      <w:r w:rsidRPr="002F0F80">
        <w:rPr>
          <w:szCs w:val="22"/>
        </w:rPr>
        <w:t>subject to</w:t>
      </w:r>
      <w:r>
        <w:rPr>
          <w:szCs w:val="22"/>
        </w:rPr>
        <w:t xml:space="preserve"> minor amendments </w:t>
      </w:r>
      <w:r w:rsidRPr="002F0F80">
        <w:rPr>
          <w:szCs w:val="22"/>
        </w:rPr>
        <w:t>between the distribution of th</w:t>
      </w:r>
      <w:r>
        <w:rPr>
          <w:szCs w:val="22"/>
        </w:rPr>
        <w:t>is</w:t>
      </w:r>
      <w:r w:rsidRPr="002F0F80">
        <w:rPr>
          <w:szCs w:val="22"/>
        </w:rPr>
        <w:t xml:space="preserve"> report and the fin</w:t>
      </w:r>
      <w:r>
        <w:rPr>
          <w:szCs w:val="22"/>
        </w:rPr>
        <w:t xml:space="preserve">al Statement of Accounts </w:t>
      </w:r>
      <w:r w:rsidR="00D547F2">
        <w:rPr>
          <w:szCs w:val="22"/>
        </w:rPr>
        <w:t>2018/19</w:t>
      </w:r>
      <w:r>
        <w:rPr>
          <w:szCs w:val="22"/>
        </w:rPr>
        <w:t>, for example as a result of recommendations or findings during the external audit.</w:t>
      </w:r>
    </w:p>
    <w:p w14:paraId="11EC6C8C" w14:textId="77777777" w:rsidR="001E1B68" w:rsidRDefault="001E1B68" w:rsidP="001467CC">
      <w:pPr>
        <w:ind w:left="360"/>
        <w:jc w:val="both"/>
        <w:rPr>
          <w:b/>
          <w:szCs w:val="22"/>
        </w:rPr>
      </w:pPr>
    </w:p>
    <w:p w14:paraId="11EC6C8D" w14:textId="77777777" w:rsidR="00044B96" w:rsidRDefault="00044B96" w:rsidP="001467CC">
      <w:pPr>
        <w:jc w:val="both"/>
        <w:rPr>
          <w:b/>
          <w:szCs w:val="22"/>
        </w:rPr>
      </w:pPr>
    </w:p>
    <w:p w14:paraId="11EC6C8E" w14:textId="77777777" w:rsidR="00044B96" w:rsidRDefault="004E17A2" w:rsidP="001467CC">
      <w:pPr>
        <w:numPr>
          <w:ilvl w:val="0"/>
          <w:numId w:val="8"/>
        </w:numPr>
        <w:jc w:val="both"/>
        <w:rPr>
          <w:b/>
          <w:szCs w:val="22"/>
        </w:rPr>
      </w:pPr>
      <w:r>
        <w:rPr>
          <w:b/>
          <w:szCs w:val="22"/>
        </w:rPr>
        <w:t xml:space="preserve">ACCOUNTING CHANGES </w:t>
      </w:r>
      <w:r w:rsidR="00D547F2">
        <w:rPr>
          <w:b/>
          <w:szCs w:val="22"/>
        </w:rPr>
        <w:t>2018/19</w:t>
      </w:r>
    </w:p>
    <w:p w14:paraId="11EC6C8F" w14:textId="77777777" w:rsidR="00044B96" w:rsidRDefault="00044B96" w:rsidP="001467CC">
      <w:pPr>
        <w:ind w:left="360"/>
        <w:jc w:val="both"/>
        <w:rPr>
          <w:b/>
          <w:szCs w:val="22"/>
        </w:rPr>
      </w:pPr>
    </w:p>
    <w:p w14:paraId="11EC6C90" w14:textId="77777777" w:rsidR="00044B96" w:rsidRDefault="004E17A2" w:rsidP="004E17A2">
      <w:pPr>
        <w:numPr>
          <w:ilvl w:val="1"/>
          <w:numId w:val="8"/>
        </w:numPr>
        <w:jc w:val="both"/>
        <w:rPr>
          <w:szCs w:val="22"/>
        </w:rPr>
      </w:pPr>
      <w:r w:rsidRPr="004E17A2">
        <w:rPr>
          <w:szCs w:val="22"/>
        </w:rPr>
        <w:t xml:space="preserve">The </w:t>
      </w:r>
      <w:r w:rsidR="004F203F">
        <w:rPr>
          <w:szCs w:val="22"/>
        </w:rPr>
        <w:t xml:space="preserve">underlying </w:t>
      </w:r>
      <w:r w:rsidR="00E3767E">
        <w:rPr>
          <w:szCs w:val="22"/>
        </w:rPr>
        <w:t>changes</w:t>
      </w:r>
      <w:r w:rsidR="00593CC8">
        <w:rPr>
          <w:szCs w:val="22"/>
        </w:rPr>
        <w:t xml:space="preserve"> </w:t>
      </w:r>
      <w:r w:rsidR="004F203F">
        <w:rPr>
          <w:szCs w:val="22"/>
        </w:rPr>
        <w:t>to accounting standards, which are incorporated into t</w:t>
      </w:r>
      <w:r w:rsidR="00593CC8">
        <w:rPr>
          <w:szCs w:val="22"/>
        </w:rPr>
        <w:t>he updated CIPFA</w:t>
      </w:r>
      <w:r w:rsidRPr="004E17A2">
        <w:rPr>
          <w:szCs w:val="22"/>
        </w:rPr>
        <w:t xml:space="preserve"> Code of Practice on Local Authority Accounting in the United Kingdom </w:t>
      </w:r>
      <w:r w:rsidR="004F203F">
        <w:rPr>
          <w:szCs w:val="22"/>
        </w:rPr>
        <w:t xml:space="preserve">for </w:t>
      </w:r>
      <w:r w:rsidR="00D547F2">
        <w:rPr>
          <w:szCs w:val="22"/>
        </w:rPr>
        <w:t>2018/19</w:t>
      </w:r>
      <w:r w:rsidR="004F203F">
        <w:rPr>
          <w:szCs w:val="22"/>
        </w:rPr>
        <w:t>,</w:t>
      </w:r>
      <w:r w:rsidRPr="004E17A2">
        <w:rPr>
          <w:szCs w:val="22"/>
        </w:rPr>
        <w:t xml:space="preserve"> are</w:t>
      </w:r>
      <w:r w:rsidR="004F203F">
        <w:rPr>
          <w:szCs w:val="22"/>
        </w:rPr>
        <w:t xml:space="preserve"> such that they will require extensive changes in practice for some organisations</w:t>
      </w:r>
      <w:r w:rsidR="00E3767E">
        <w:rPr>
          <w:szCs w:val="22"/>
        </w:rPr>
        <w:t>,</w:t>
      </w:r>
      <w:r w:rsidR="004F203F">
        <w:rPr>
          <w:szCs w:val="22"/>
        </w:rPr>
        <w:t xml:space="preserve"> in the two areas of financial instruments and revenue income recognition. However, the practical implications are more limited for local authorities in general</w:t>
      </w:r>
      <w:r w:rsidR="00E3767E">
        <w:rPr>
          <w:szCs w:val="22"/>
        </w:rPr>
        <w:t>,</w:t>
      </w:r>
      <w:r w:rsidR="004F203F">
        <w:rPr>
          <w:szCs w:val="22"/>
        </w:rPr>
        <w:t xml:space="preserve"> and particularly so where an individual council has an investment portfolio and revenue streams which are </w:t>
      </w:r>
      <w:r w:rsidRPr="004E17A2">
        <w:rPr>
          <w:szCs w:val="22"/>
        </w:rPr>
        <w:t>relatively straightforward</w:t>
      </w:r>
      <w:r w:rsidR="004F203F">
        <w:rPr>
          <w:szCs w:val="22"/>
        </w:rPr>
        <w:t>. The implications for the Council’s Statement of Accounts for 2018/19 are limited to relatively minor presentational changes.</w:t>
      </w:r>
      <w:r w:rsidRPr="004E17A2">
        <w:rPr>
          <w:szCs w:val="22"/>
        </w:rPr>
        <w:t xml:space="preserve"> </w:t>
      </w:r>
    </w:p>
    <w:p w14:paraId="11EC6C91" w14:textId="77777777" w:rsidR="00FC3332" w:rsidRDefault="00FC3332" w:rsidP="001467CC">
      <w:pPr>
        <w:jc w:val="both"/>
        <w:rPr>
          <w:szCs w:val="22"/>
        </w:rPr>
      </w:pPr>
    </w:p>
    <w:p w14:paraId="11EC6C92" w14:textId="77777777" w:rsidR="00044B96" w:rsidRDefault="00044B96" w:rsidP="001467CC">
      <w:pPr>
        <w:ind w:left="360"/>
        <w:jc w:val="both"/>
        <w:rPr>
          <w:b/>
          <w:szCs w:val="22"/>
        </w:rPr>
      </w:pPr>
    </w:p>
    <w:p w14:paraId="11EC6C93" w14:textId="77777777" w:rsidR="002F5C5E" w:rsidRDefault="004E17A2" w:rsidP="001467CC">
      <w:pPr>
        <w:numPr>
          <w:ilvl w:val="0"/>
          <w:numId w:val="8"/>
        </w:numPr>
        <w:jc w:val="both"/>
        <w:rPr>
          <w:b/>
          <w:szCs w:val="22"/>
        </w:rPr>
      </w:pPr>
      <w:r>
        <w:rPr>
          <w:b/>
          <w:szCs w:val="22"/>
        </w:rPr>
        <w:t>FUTURE CHANGES</w:t>
      </w:r>
    </w:p>
    <w:p w14:paraId="11EC6C94" w14:textId="77777777" w:rsidR="00FB6093" w:rsidRDefault="00FB6093" w:rsidP="001467CC">
      <w:pPr>
        <w:jc w:val="both"/>
        <w:rPr>
          <w:b/>
          <w:szCs w:val="22"/>
        </w:rPr>
      </w:pPr>
    </w:p>
    <w:p w14:paraId="11EC6C95" w14:textId="77777777" w:rsidR="004E17A2" w:rsidRPr="004E17A2" w:rsidRDefault="00832363" w:rsidP="004E17A2">
      <w:pPr>
        <w:numPr>
          <w:ilvl w:val="1"/>
          <w:numId w:val="8"/>
        </w:numPr>
        <w:jc w:val="both"/>
        <w:rPr>
          <w:szCs w:val="22"/>
        </w:rPr>
      </w:pPr>
      <w:r>
        <w:rPr>
          <w:szCs w:val="22"/>
        </w:rPr>
        <w:t>The principal forthcoming change is the implementation of IFRS 16 Leases. This will see a number of assets which have not previously been included on the Balance Sheet added to it, as we</w:t>
      </w:r>
      <w:r w:rsidR="00E3767E">
        <w:rPr>
          <w:szCs w:val="22"/>
        </w:rPr>
        <w:t>ll as introducing</w:t>
      </w:r>
      <w:r>
        <w:rPr>
          <w:szCs w:val="22"/>
        </w:rPr>
        <w:t xml:space="preserve"> more extensive disclosure requirements. It had been expected that this would have to be done for financial year 2019/20, but the decision has recently been taken to defer this to 2020/21. No significant changes are now expected in respect </w:t>
      </w:r>
      <w:r w:rsidR="00E3767E">
        <w:rPr>
          <w:szCs w:val="22"/>
        </w:rPr>
        <w:t>of 2019/20.</w:t>
      </w:r>
    </w:p>
    <w:p w14:paraId="11EC6C96" w14:textId="77777777" w:rsidR="004E17A2" w:rsidRPr="004E17A2" w:rsidRDefault="004E17A2" w:rsidP="004E17A2">
      <w:pPr>
        <w:jc w:val="both"/>
        <w:rPr>
          <w:szCs w:val="22"/>
        </w:rPr>
      </w:pPr>
    </w:p>
    <w:p w14:paraId="11EC6C97" w14:textId="77777777" w:rsidR="002F5C5E" w:rsidRPr="004E17A2" w:rsidRDefault="004E17A2" w:rsidP="004E17A2">
      <w:pPr>
        <w:numPr>
          <w:ilvl w:val="1"/>
          <w:numId w:val="8"/>
        </w:numPr>
        <w:jc w:val="both"/>
        <w:rPr>
          <w:szCs w:val="22"/>
        </w:rPr>
      </w:pPr>
      <w:r w:rsidRPr="004E17A2">
        <w:rPr>
          <w:szCs w:val="22"/>
        </w:rPr>
        <w:t>More information will be provided about these changes when the Statement of Accounting Polic</w:t>
      </w:r>
      <w:r w:rsidR="00832363">
        <w:rPr>
          <w:szCs w:val="22"/>
        </w:rPr>
        <w:t>i</w:t>
      </w:r>
      <w:r w:rsidRPr="004E17A2">
        <w:rPr>
          <w:szCs w:val="22"/>
        </w:rPr>
        <w:t>es for the years in question are brought to Governance Committee.</w:t>
      </w:r>
    </w:p>
    <w:p w14:paraId="11EC6C98" w14:textId="77777777" w:rsidR="002F5C5E" w:rsidRDefault="002F5C5E" w:rsidP="001467CC">
      <w:pPr>
        <w:jc w:val="both"/>
        <w:rPr>
          <w:b/>
          <w:szCs w:val="22"/>
        </w:rPr>
      </w:pPr>
    </w:p>
    <w:p w14:paraId="11EC6C99" w14:textId="77777777" w:rsidR="005935C0" w:rsidRPr="009C1143" w:rsidRDefault="005935C0" w:rsidP="001467CC">
      <w:pPr>
        <w:jc w:val="both"/>
        <w:rPr>
          <w:b/>
          <w:szCs w:val="22"/>
        </w:rPr>
      </w:pPr>
    </w:p>
    <w:p w14:paraId="11EC6C9A" w14:textId="77777777" w:rsidR="00E3767E" w:rsidRDefault="00E3767E">
      <w:pPr>
        <w:rPr>
          <w:b/>
          <w:szCs w:val="22"/>
        </w:rPr>
      </w:pPr>
      <w:r>
        <w:rPr>
          <w:b/>
          <w:szCs w:val="22"/>
        </w:rPr>
        <w:br w:type="page"/>
      </w:r>
    </w:p>
    <w:p w14:paraId="11EC6C9B" w14:textId="77777777" w:rsidR="00FA6E1F" w:rsidRDefault="00FA6E1F" w:rsidP="00FA6E1F">
      <w:pPr>
        <w:numPr>
          <w:ilvl w:val="0"/>
          <w:numId w:val="8"/>
        </w:numPr>
        <w:jc w:val="both"/>
        <w:rPr>
          <w:b/>
          <w:szCs w:val="22"/>
        </w:rPr>
      </w:pPr>
      <w:r>
        <w:rPr>
          <w:b/>
          <w:szCs w:val="22"/>
        </w:rPr>
        <w:lastRenderedPageBreak/>
        <w:t>CONSULTATION CARRIED OUT AND OUTCOME OF CONSULTATION</w:t>
      </w:r>
    </w:p>
    <w:p w14:paraId="11EC6C9C" w14:textId="77777777" w:rsidR="003E1639" w:rsidRDefault="003E1639" w:rsidP="003E1639">
      <w:pPr>
        <w:ind w:left="360"/>
        <w:jc w:val="both"/>
        <w:rPr>
          <w:b/>
          <w:szCs w:val="22"/>
        </w:rPr>
      </w:pPr>
    </w:p>
    <w:p w14:paraId="11EC6C9D" w14:textId="77777777" w:rsidR="003E1639" w:rsidRPr="004E17A2" w:rsidRDefault="003E1639" w:rsidP="003E1639">
      <w:pPr>
        <w:numPr>
          <w:ilvl w:val="1"/>
          <w:numId w:val="8"/>
        </w:numPr>
        <w:jc w:val="both"/>
        <w:rPr>
          <w:szCs w:val="22"/>
        </w:rPr>
      </w:pPr>
      <w:r>
        <w:rPr>
          <w:szCs w:val="22"/>
        </w:rPr>
        <w:t xml:space="preserve">No consultation was undertaken in preparing this report. </w:t>
      </w:r>
      <w:r w:rsidRPr="003E1639">
        <w:rPr>
          <w:szCs w:val="22"/>
        </w:rPr>
        <w:t>The report purely relates to the technical and statutory accounting requirements for the Statement of Accounts.</w:t>
      </w:r>
      <w:r>
        <w:rPr>
          <w:szCs w:val="22"/>
        </w:rPr>
        <w:t xml:space="preserve"> The Statement of Accounting Policies inc</w:t>
      </w:r>
      <w:r w:rsidR="001D7B9F">
        <w:rPr>
          <w:szCs w:val="22"/>
        </w:rPr>
        <w:t xml:space="preserve">orporates </w:t>
      </w:r>
      <w:r w:rsidR="007B7FCF">
        <w:rPr>
          <w:szCs w:val="22"/>
        </w:rPr>
        <w:t>cha</w:t>
      </w:r>
      <w:r w:rsidR="001D7B9F">
        <w:rPr>
          <w:szCs w:val="22"/>
        </w:rPr>
        <w:t>nges required</w:t>
      </w:r>
      <w:r w:rsidR="007B7FCF">
        <w:rPr>
          <w:szCs w:val="22"/>
        </w:rPr>
        <w:t xml:space="preserve"> as a result of changes to accounting standards and </w:t>
      </w:r>
      <w:r w:rsidR="001D7B9F">
        <w:rPr>
          <w:szCs w:val="22"/>
        </w:rPr>
        <w:t xml:space="preserve">to </w:t>
      </w:r>
      <w:r w:rsidR="007B7FCF">
        <w:rPr>
          <w:szCs w:val="22"/>
        </w:rPr>
        <w:t>the CIPFA Code of Practice</w:t>
      </w:r>
      <w:r w:rsidR="00EA15EB">
        <w:rPr>
          <w:szCs w:val="22"/>
        </w:rPr>
        <w:t xml:space="preserve"> on Local Authority Accounting in the United Kingdom</w:t>
      </w:r>
      <w:r w:rsidR="007B7FCF">
        <w:rPr>
          <w:szCs w:val="22"/>
        </w:rPr>
        <w:t>.</w:t>
      </w:r>
    </w:p>
    <w:p w14:paraId="11EC6C9E" w14:textId="77777777" w:rsidR="003E1639" w:rsidRDefault="003E1639" w:rsidP="001467CC">
      <w:pPr>
        <w:jc w:val="both"/>
        <w:rPr>
          <w:b/>
          <w:szCs w:val="22"/>
        </w:rPr>
      </w:pPr>
    </w:p>
    <w:p w14:paraId="11EC6C9F" w14:textId="77777777" w:rsidR="007B7FCF" w:rsidRDefault="007B7FCF" w:rsidP="001467CC">
      <w:pPr>
        <w:jc w:val="both"/>
        <w:rPr>
          <w:b/>
          <w:szCs w:val="22"/>
        </w:rPr>
      </w:pPr>
    </w:p>
    <w:p w14:paraId="11EC6CA0" w14:textId="77777777" w:rsidR="00FA6E1F" w:rsidRDefault="00FA6E1F" w:rsidP="00FA6E1F">
      <w:pPr>
        <w:numPr>
          <w:ilvl w:val="0"/>
          <w:numId w:val="8"/>
        </w:numPr>
        <w:jc w:val="both"/>
        <w:rPr>
          <w:b/>
          <w:szCs w:val="22"/>
        </w:rPr>
      </w:pPr>
      <w:r>
        <w:rPr>
          <w:b/>
          <w:szCs w:val="22"/>
        </w:rPr>
        <w:t>FINANCIAL IMPLICATIONS</w:t>
      </w:r>
    </w:p>
    <w:p w14:paraId="11EC6CA1" w14:textId="77777777" w:rsidR="003E1639" w:rsidRDefault="003E1639" w:rsidP="003E1639">
      <w:pPr>
        <w:jc w:val="both"/>
        <w:rPr>
          <w:b/>
          <w:szCs w:val="22"/>
        </w:rPr>
      </w:pPr>
    </w:p>
    <w:p w14:paraId="11EC6CA2" w14:textId="77777777" w:rsidR="003E1639" w:rsidRPr="004E17A2" w:rsidRDefault="000B7F57" w:rsidP="003E1639">
      <w:pPr>
        <w:numPr>
          <w:ilvl w:val="1"/>
          <w:numId w:val="8"/>
        </w:numPr>
        <w:jc w:val="both"/>
        <w:rPr>
          <w:szCs w:val="22"/>
        </w:rPr>
      </w:pPr>
      <w:r>
        <w:rPr>
          <w:szCs w:val="22"/>
        </w:rPr>
        <w:t>T</w:t>
      </w:r>
      <w:r w:rsidR="003E1639">
        <w:rPr>
          <w:szCs w:val="22"/>
        </w:rPr>
        <w:t>here are no direct financial implications arising as a result of</w:t>
      </w:r>
      <w:r w:rsidR="00E3767E">
        <w:rPr>
          <w:szCs w:val="22"/>
        </w:rPr>
        <w:t xml:space="preserve"> this report. The report </w:t>
      </w:r>
      <w:r w:rsidR="003E1639">
        <w:rPr>
          <w:szCs w:val="22"/>
        </w:rPr>
        <w:t xml:space="preserve">relates </w:t>
      </w:r>
      <w:r w:rsidR="00E3767E">
        <w:rPr>
          <w:szCs w:val="22"/>
        </w:rPr>
        <w:t xml:space="preserve">exclusively </w:t>
      </w:r>
      <w:r w:rsidR="003E1639">
        <w:rPr>
          <w:szCs w:val="22"/>
        </w:rPr>
        <w:t>to the technical and statutory accounting requirements for the Statement of Accounts.</w:t>
      </w:r>
    </w:p>
    <w:p w14:paraId="11EC6CA3" w14:textId="77777777" w:rsidR="00FA6E1F" w:rsidRDefault="00FA6E1F" w:rsidP="00FA6E1F">
      <w:pPr>
        <w:pStyle w:val="ListParagraph"/>
        <w:rPr>
          <w:b/>
        </w:rPr>
      </w:pPr>
    </w:p>
    <w:p w14:paraId="11EC6CA4" w14:textId="77777777" w:rsidR="00FA6E1F" w:rsidRDefault="00FA6E1F" w:rsidP="00FA6E1F">
      <w:pPr>
        <w:numPr>
          <w:ilvl w:val="0"/>
          <w:numId w:val="8"/>
        </w:numPr>
        <w:jc w:val="both"/>
        <w:rPr>
          <w:b/>
          <w:szCs w:val="22"/>
        </w:rPr>
      </w:pPr>
      <w:r>
        <w:rPr>
          <w:b/>
          <w:szCs w:val="22"/>
        </w:rPr>
        <w:t>LEGAL IMPLICATIONS</w:t>
      </w:r>
    </w:p>
    <w:p w14:paraId="11EC6CA5" w14:textId="77777777" w:rsidR="00FA6E1F" w:rsidRDefault="00FA6E1F" w:rsidP="00FA6E1F">
      <w:pPr>
        <w:jc w:val="both"/>
        <w:rPr>
          <w:b/>
          <w:szCs w:val="22"/>
        </w:rPr>
      </w:pPr>
    </w:p>
    <w:p w14:paraId="11EC6CA6" w14:textId="77777777" w:rsidR="00FA6E1F" w:rsidRPr="004E17A2" w:rsidRDefault="00FA6E1F" w:rsidP="00FA6E1F">
      <w:pPr>
        <w:numPr>
          <w:ilvl w:val="1"/>
          <w:numId w:val="8"/>
        </w:numPr>
        <w:jc w:val="both"/>
        <w:rPr>
          <w:szCs w:val="22"/>
        </w:rPr>
      </w:pPr>
      <w:r>
        <w:rPr>
          <w:szCs w:val="22"/>
        </w:rPr>
        <w:t xml:space="preserve">The legal implications are in respect of </w:t>
      </w:r>
      <w:r w:rsidR="001114AB">
        <w:rPr>
          <w:szCs w:val="22"/>
        </w:rPr>
        <w:t xml:space="preserve">the </w:t>
      </w:r>
      <w:r w:rsidRPr="00FA6E1F">
        <w:rPr>
          <w:szCs w:val="22"/>
        </w:rPr>
        <w:t>Accounts and Audit Regulations 2015</w:t>
      </w:r>
      <w:r>
        <w:rPr>
          <w:szCs w:val="22"/>
        </w:rPr>
        <w:t xml:space="preserve"> and</w:t>
      </w:r>
      <w:r w:rsidR="001114AB">
        <w:rPr>
          <w:szCs w:val="22"/>
        </w:rPr>
        <w:t xml:space="preserve"> the</w:t>
      </w:r>
      <w:r>
        <w:rPr>
          <w:szCs w:val="22"/>
        </w:rPr>
        <w:t xml:space="preserve"> </w:t>
      </w:r>
      <w:r w:rsidR="003E1639">
        <w:rPr>
          <w:szCs w:val="22"/>
        </w:rPr>
        <w:t xml:space="preserve">requirement that </w:t>
      </w:r>
      <w:r>
        <w:rPr>
          <w:szCs w:val="22"/>
        </w:rPr>
        <w:t>th</w:t>
      </w:r>
      <w:r w:rsidRPr="00FA6E1F">
        <w:rPr>
          <w:szCs w:val="22"/>
        </w:rPr>
        <w:t xml:space="preserve">e accounts must be compliant with the relevant </w:t>
      </w:r>
      <w:r w:rsidR="003E1639">
        <w:rPr>
          <w:szCs w:val="22"/>
        </w:rPr>
        <w:t xml:space="preserve">accounting </w:t>
      </w:r>
      <w:r w:rsidRPr="00FA6E1F">
        <w:rPr>
          <w:szCs w:val="22"/>
        </w:rPr>
        <w:t>standards</w:t>
      </w:r>
      <w:r w:rsidR="003E1639">
        <w:rPr>
          <w:szCs w:val="22"/>
        </w:rPr>
        <w:t xml:space="preserve"> and codes of practice</w:t>
      </w:r>
      <w:r w:rsidRPr="00FA6E1F">
        <w:rPr>
          <w:szCs w:val="22"/>
        </w:rPr>
        <w:t xml:space="preserve"> and must be prepared on a true and fair view basis. Failure to comply could result in a failure to meet the statutory duty.</w:t>
      </w:r>
    </w:p>
    <w:p w14:paraId="11EC6CA7" w14:textId="77777777" w:rsidR="00FA6E1F" w:rsidRDefault="00FA6E1F" w:rsidP="00FA6E1F">
      <w:pPr>
        <w:pStyle w:val="ListParagraph"/>
        <w:rPr>
          <w:b/>
        </w:rPr>
      </w:pPr>
    </w:p>
    <w:p w14:paraId="11EC6CA8" w14:textId="77777777" w:rsidR="00FA6E1F" w:rsidRPr="00FA6E1F" w:rsidRDefault="00FA6E1F" w:rsidP="00E973CC">
      <w:pPr>
        <w:numPr>
          <w:ilvl w:val="0"/>
          <w:numId w:val="8"/>
        </w:numPr>
        <w:jc w:val="both"/>
        <w:rPr>
          <w:b/>
          <w:szCs w:val="22"/>
        </w:rPr>
      </w:pPr>
      <w:r w:rsidRPr="00FA6E1F">
        <w:rPr>
          <w:b/>
          <w:szCs w:val="22"/>
        </w:rPr>
        <w:t>COMMENTS OF THE STATUTORY FINANCE OFFICER</w:t>
      </w:r>
    </w:p>
    <w:p w14:paraId="11EC6CA9" w14:textId="77777777" w:rsidR="000501DD" w:rsidRPr="00FA6E1F" w:rsidRDefault="000501DD" w:rsidP="00FA6E1F">
      <w:pPr>
        <w:ind w:left="720"/>
        <w:jc w:val="both"/>
        <w:rPr>
          <w:szCs w:val="22"/>
        </w:rPr>
      </w:pPr>
    </w:p>
    <w:p w14:paraId="11EC6CAA" w14:textId="77777777" w:rsidR="00F010C1" w:rsidRPr="00FA6E1F" w:rsidRDefault="004E17A2" w:rsidP="00FA6E1F">
      <w:pPr>
        <w:numPr>
          <w:ilvl w:val="1"/>
          <w:numId w:val="8"/>
        </w:numPr>
        <w:ind w:left="851" w:hanging="491"/>
        <w:jc w:val="both"/>
        <w:rPr>
          <w:szCs w:val="22"/>
        </w:rPr>
      </w:pPr>
      <w:r w:rsidRPr="00FA6E1F">
        <w:rPr>
          <w:szCs w:val="22"/>
        </w:rPr>
        <w:t xml:space="preserve">The Statement of Accounting Policies </w:t>
      </w:r>
      <w:r w:rsidR="00D547F2">
        <w:rPr>
          <w:szCs w:val="22"/>
        </w:rPr>
        <w:t>2018/19</w:t>
      </w:r>
      <w:r w:rsidRPr="00FA6E1F">
        <w:rPr>
          <w:szCs w:val="22"/>
        </w:rPr>
        <w:t xml:space="preserve"> have been reviewed for regulatory compliance</w:t>
      </w:r>
      <w:r w:rsidR="00F45B2D" w:rsidRPr="00FA6E1F">
        <w:rPr>
          <w:szCs w:val="22"/>
        </w:rPr>
        <w:t>. There are no financial implications as the accounting sta</w:t>
      </w:r>
      <w:r w:rsidR="00EA15EB">
        <w:rPr>
          <w:szCs w:val="22"/>
        </w:rPr>
        <w:t>ndards are applied in practice.</w:t>
      </w:r>
    </w:p>
    <w:p w14:paraId="11EC6CAB" w14:textId="77777777" w:rsidR="00136D96" w:rsidRDefault="00136D96" w:rsidP="004E17A2">
      <w:pPr>
        <w:ind w:left="360"/>
        <w:jc w:val="both"/>
        <w:rPr>
          <w:szCs w:val="22"/>
        </w:rPr>
      </w:pPr>
    </w:p>
    <w:p w14:paraId="11EC6CAC" w14:textId="77777777" w:rsidR="007B7FCF" w:rsidRPr="0083249B" w:rsidRDefault="007B7FCF" w:rsidP="004E17A2">
      <w:pPr>
        <w:ind w:left="360"/>
        <w:jc w:val="both"/>
        <w:rPr>
          <w:szCs w:val="22"/>
        </w:rPr>
      </w:pPr>
    </w:p>
    <w:p w14:paraId="11EC6CAD" w14:textId="77777777" w:rsidR="00FA6E1F" w:rsidRDefault="00FA6E1F" w:rsidP="00FA6E1F">
      <w:pPr>
        <w:numPr>
          <w:ilvl w:val="0"/>
          <w:numId w:val="8"/>
        </w:numPr>
        <w:jc w:val="both"/>
        <w:rPr>
          <w:b/>
          <w:szCs w:val="22"/>
        </w:rPr>
      </w:pPr>
      <w:r w:rsidRPr="00FA6E1F">
        <w:rPr>
          <w:b/>
          <w:szCs w:val="22"/>
        </w:rPr>
        <w:t>COMMENTS OF THE MONITORING OFFICER</w:t>
      </w:r>
    </w:p>
    <w:p w14:paraId="11EC6CAE" w14:textId="77777777" w:rsidR="00851B9A" w:rsidRDefault="00851B9A" w:rsidP="00FA6E1F">
      <w:pPr>
        <w:jc w:val="both"/>
        <w:rPr>
          <w:b/>
          <w:szCs w:val="22"/>
        </w:rPr>
      </w:pPr>
    </w:p>
    <w:p w14:paraId="11EC6CAF" w14:textId="77777777" w:rsidR="00616577" w:rsidRPr="00FA6E1F" w:rsidRDefault="00616577" w:rsidP="00616577">
      <w:pPr>
        <w:numPr>
          <w:ilvl w:val="1"/>
          <w:numId w:val="8"/>
        </w:numPr>
        <w:ind w:left="851" w:hanging="491"/>
        <w:jc w:val="both"/>
        <w:rPr>
          <w:szCs w:val="22"/>
        </w:rPr>
      </w:pPr>
      <w:r w:rsidRPr="00CC4E08">
        <w:rPr>
          <w:rFonts w:cs="Arial"/>
        </w:rPr>
        <w:t>Please see the legal Implications section above. The appended Statement of Accounting Policies</w:t>
      </w:r>
      <w:r>
        <w:rPr>
          <w:rFonts w:cs="Arial"/>
        </w:rPr>
        <w:t xml:space="preserve"> is</w:t>
      </w:r>
      <w:r w:rsidRPr="00CC4E08">
        <w:rPr>
          <w:rFonts w:cs="Arial"/>
        </w:rPr>
        <w:t xml:space="preserve"> designed</w:t>
      </w:r>
      <w:r>
        <w:rPr>
          <w:rFonts w:cs="Arial"/>
        </w:rPr>
        <w:t xml:space="preserve"> to comply</w:t>
      </w:r>
      <w:r w:rsidRPr="00CC4E08">
        <w:rPr>
          <w:rFonts w:cs="Arial"/>
        </w:rPr>
        <w:t xml:space="preserve"> with all relevant Regulations and Codes of Practice.</w:t>
      </w:r>
    </w:p>
    <w:p w14:paraId="11EC6CB0" w14:textId="77777777" w:rsidR="00616577" w:rsidRPr="0083249B" w:rsidRDefault="00616577" w:rsidP="00FA6E1F">
      <w:pPr>
        <w:jc w:val="both"/>
        <w:rPr>
          <w:b/>
          <w:szCs w:val="22"/>
        </w:rPr>
      </w:pPr>
    </w:p>
    <w:p w14:paraId="11EC6CB1" w14:textId="77777777" w:rsidR="00484828" w:rsidRDefault="00484828">
      <w:pPr>
        <w:rPr>
          <w:szCs w:val="22"/>
        </w:rPr>
      </w:pPr>
      <w:r>
        <w:rPr>
          <w:szCs w:val="22"/>
        </w:rPr>
        <w:br w:type="page"/>
      </w:r>
    </w:p>
    <w:p w14:paraId="11EC6CB2" w14:textId="77777777" w:rsidR="00EA15EB" w:rsidRPr="0083249B" w:rsidRDefault="00EA15EB" w:rsidP="007B7FCF">
      <w:pPr>
        <w:ind w:left="360"/>
        <w:jc w:val="both"/>
        <w:rPr>
          <w:szCs w:val="22"/>
        </w:rPr>
      </w:pPr>
    </w:p>
    <w:p w14:paraId="11EC6CB3" w14:textId="77777777" w:rsidR="007B7FCF" w:rsidRDefault="007B7FCF" w:rsidP="007B7FCF">
      <w:pPr>
        <w:numPr>
          <w:ilvl w:val="0"/>
          <w:numId w:val="8"/>
        </w:numPr>
        <w:jc w:val="both"/>
        <w:rPr>
          <w:b/>
          <w:szCs w:val="22"/>
        </w:rPr>
      </w:pPr>
      <w:r>
        <w:rPr>
          <w:b/>
          <w:szCs w:val="22"/>
        </w:rPr>
        <w:t>OTHER IMPLICATIONS:</w:t>
      </w:r>
    </w:p>
    <w:p w14:paraId="11EC6CB4" w14:textId="77777777" w:rsidR="007B7FCF" w:rsidRDefault="007B7FCF" w:rsidP="00136D96">
      <w:pPr>
        <w:ind w:left="360"/>
        <w:jc w:val="both"/>
        <w:rPr>
          <w:b/>
          <w:szCs w:val="22"/>
        </w:rPr>
      </w:pPr>
    </w:p>
    <w:p w14:paraId="11EC6CB5" w14:textId="77777777" w:rsidR="007B7FCF" w:rsidRPr="009C1143" w:rsidRDefault="007B7FCF" w:rsidP="00136D96">
      <w:pPr>
        <w:ind w:left="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851B9A" w14:paraId="11EC6CC5" w14:textId="77777777" w:rsidTr="00851B9A">
        <w:trPr>
          <w:trHeight w:val="3660"/>
        </w:trPr>
        <w:tc>
          <w:tcPr>
            <w:tcW w:w="3544" w:type="dxa"/>
            <w:shd w:val="clear" w:color="auto" w:fill="auto"/>
          </w:tcPr>
          <w:p w14:paraId="11EC6CB6" w14:textId="77777777" w:rsidR="007B7FCF" w:rsidRPr="009C1143" w:rsidRDefault="007B7FCF" w:rsidP="001467CC">
            <w:pPr>
              <w:jc w:val="both"/>
              <w:rPr>
                <w:b/>
                <w:szCs w:val="22"/>
              </w:rPr>
            </w:pPr>
          </w:p>
          <w:p w14:paraId="11EC6CB7" w14:textId="77777777" w:rsidR="007B7FCF" w:rsidRPr="00792A2B" w:rsidRDefault="007B7FCF" w:rsidP="007B7FCF">
            <w:pPr>
              <w:numPr>
                <w:ilvl w:val="0"/>
                <w:numId w:val="11"/>
              </w:numPr>
              <w:ind w:left="360"/>
              <w:rPr>
                <w:b/>
                <w:szCs w:val="22"/>
              </w:rPr>
            </w:pPr>
            <w:r w:rsidRPr="00792A2B">
              <w:rPr>
                <w:b/>
                <w:szCs w:val="22"/>
              </w:rPr>
              <w:t xml:space="preserve">HR &amp; Organisational Development </w:t>
            </w:r>
          </w:p>
          <w:p w14:paraId="11EC6CB8" w14:textId="77777777" w:rsidR="007B7FCF" w:rsidRPr="00792A2B" w:rsidRDefault="007B7FCF" w:rsidP="007B7FCF">
            <w:pPr>
              <w:ind w:left="360"/>
              <w:rPr>
                <w:b/>
                <w:szCs w:val="22"/>
              </w:rPr>
            </w:pPr>
          </w:p>
          <w:p w14:paraId="11EC6CB9" w14:textId="77777777" w:rsidR="007B7FCF" w:rsidRPr="00792A2B" w:rsidRDefault="007B7FCF" w:rsidP="007B7FCF">
            <w:pPr>
              <w:numPr>
                <w:ilvl w:val="0"/>
                <w:numId w:val="11"/>
              </w:numPr>
              <w:ind w:left="360"/>
              <w:rPr>
                <w:b/>
                <w:szCs w:val="22"/>
              </w:rPr>
            </w:pPr>
            <w:r w:rsidRPr="00792A2B">
              <w:rPr>
                <w:b/>
                <w:szCs w:val="22"/>
              </w:rPr>
              <w:t>ICT / Technology</w:t>
            </w:r>
          </w:p>
          <w:p w14:paraId="11EC6CBA" w14:textId="77777777" w:rsidR="007B7FCF" w:rsidRPr="00792A2B" w:rsidRDefault="007B7FCF" w:rsidP="007B7FCF">
            <w:pPr>
              <w:ind w:left="360"/>
              <w:rPr>
                <w:b/>
                <w:szCs w:val="22"/>
              </w:rPr>
            </w:pPr>
          </w:p>
          <w:p w14:paraId="11EC6CBB" w14:textId="77777777" w:rsidR="007B7FCF" w:rsidRPr="00792A2B" w:rsidRDefault="007B7FCF" w:rsidP="007B7FCF">
            <w:pPr>
              <w:rPr>
                <w:b/>
                <w:szCs w:val="22"/>
              </w:rPr>
            </w:pPr>
          </w:p>
          <w:p w14:paraId="11EC6CBC" w14:textId="77777777" w:rsidR="007B7FCF" w:rsidRPr="00792A2B" w:rsidRDefault="007B7FCF" w:rsidP="007B7FCF">
            <w:pPr>
              <w:numPr>
                <w:ilvl w:val="0"/>
                <w:numId w:val="11"/>
              </w:numPr>
              <w:ind w:left="360"/>
              <w:rPr>
                <w:b/>
                <w:szCs w:val="22"/>
              </w:rPr>
            </w:pPr>
            <w:r w:rsidRPr="00792A2B">
              <w:rPr>
                <w:b/>
                <w:szCs w:val="22"/>
              </w:rPr>
              <w:t>Property &amp; Asset Management</w:t>
            </w:r>
          </w:p>
          <w:p w14:paraId="11EC6CBD" w14:textId="77777777" w:rsidR="007B7FCF" w:rsidRPr="00792A2B" w:rsidRDefault="007B7FCF" w:rsidP="007B7FCF">
            <w:pPr>
              <w:ind w:left="360"/>
              <w:rPr>
                <w:b/>
                <w:szCs w:val="22"/>
              </w:rPr>
            </w:pPr>
          </w:p>
          <w:p w14:paraId="11EC6CBE" w14:textId="77777777" w:rsidR="007B7FCF" w:rsidRPr="00792A2B" w:rsidRDefault="007B7FCF" w:rsidP="007B7FCF">
            <w:pPr>
              <w:numPr>
                <w:ilvl w:val="0"/>
                <w:numId w:val="11"/>
              </w:numPr>
              <w:ind w:left="360"/>
              <w:rPr>
                <w:b/>
                <w:szCs w:val="22"/>
              </w:rPr>
            </w:pPr>
            <w:r w:rsidRPr="00792A2B">
              <w:rPr>
                <w:b/>
                <w:szCs w:val="22"/>
              </w:rPr>
              <w:t xml:space="preserve">Risk </w:t>
            </w:r>
          </w:p>
          <w:p w14:paraId="11EC6CBF" w14:textId="77777777" w:rsidR="007B7FCF" w:rsidRPr="00792A2B" w:rsidRDefault="007B7FCF" w:rsidP="007B7FCF">
            <w:pPr>
              <w:rPr>
                <w:b/>
                <w:szCs w:val="22"/>
              </w:rPr>
            </w:pPr>
          </w:p>
          <w:p w14:paraId="11EC6CC0" w14:textId="77777777" w:rsidR="002F5C5E" w:rsidRPr="007B7FCF" w:rsidRDefault="007B7FCF" w:rsidP="007B7FCF">
            <w:pPr>
              <w:numPr>
                <w:ilvl w:val="0"/>
                <w:numId w:val="11"/>
              </w:numPr>
              <w:ind w:left="360"/>
              <w:rPr>
                <w:b/>
                <w:szCs w:val="22"/>
              </w:rPr>
            </w:pPr>
            <w:r w:rsidRPr="00792A2B">
              <w:rPr>
                <w:b/>
                <w:szCs w:val="22"/>
              </w:rPr>
              <w:t xml:space="preserve">Equality &amp; Diversity </w:t>
            </w:r>
          </w:p>
          <w:p w14:paraId="11EC6CC1" w14:textId="77777777" w:rsidR="002F5C5E" w:rsidRPr="009C1143" w:rsidRDefault="002F5C5E" w:rsidP="001467CC">
            <w:pPr>
              <w:jc w:val="both"/>
              <w:rPr>
                <w:szCs w:val="22"/>
              </w:rPr>
            </w:pPr>
          </w:p>
        </w:tc>
        <w:tc>
          <w:tcPr>
            <w:tcW w:w="6379" w:type="dxa"/>
            <w:shd w:val="clear" w:color="auto" w:fill="auto"/>
            <w:vAlign w:val="center"/>
          </w:tcPr>
          <w:p w14:paraId="11EC6CC2" w14:textId="77777777" w:rsidR="00851B9A" w:rsidRDefault="002B7F15" w:rsidP="001467CC">
            <w:pPr>
              <w:jc w:val="both"/>
              <w:rPr>
                <w:szCs w:val="22"/>
              </w:rPr>
            </w:pPr>
            <w:r w:rsidRPr="002B7F15">
              <w:rPr>
                <w:szCs w:val="22"/>
              </w:rPr>
              <w:t xml:space="preserve">Risk implications apply in relation to the Accounts and Audit Regulations 2015 to prepare financial statements in accordance with the statutory timetable. The accounts must be compliant with the relevant standards and must be prepared on a true and fair view basis. Failure to </w:t>
            </w:r>
            <w:r w:rsidR="00AD7324" w:rsidRPr="002B7F15">
              <w:rPr>
                <w:szCs w:val="22"/>
              </w:rPr>
              <w:t>comply</w:t>
            </w:r>
            <w:r w:rsidRPr="002B7F15">
              <w:rPr>
                <w:szCs w:val="22"/>
              </w:rPr>
              <w:t xml:space="preserve"> could result in a failure to meet the statutory duty.</w:t>
            </w:r>
          </w:p>
          <w:p w14:paraId="11EC6CC3" w14:textId="77777777" w:rsidR="002B7F15" w:rsidRPr="00851B9A" w:rsidRDefault="002B7F15" w:rsidP="001467CC">
            <w:pPr>
              <w:jc w:val="both"/>
              <w:rPr>
                <w:szCs w:val="22"/>
              </w:rPr>
            </w:pPr>
          </w:p>
          <w:p w14:paraId="11EC6CC4" w14:textId="77777777" w:rsidR="00851B9A" w:rsidRPr="00851B9A" w:rsidRDefault="00851B9A" w:rsidP="001467CC">
            <w:pPr>
              <w:jc w:val="both"/>
              <w:rPr>
                <w:szCs w:val="22"/>
              </w:rPr>
            </w:pPr>
          </w:p>
        </w:tc>
      </w:tr>
    </w:tbl>
    <w:p w14:paraId="11EC6CC6" w14:textId="77777777" w:rsidR="002F5C5E" w:rsidRPr="009C1143" w:rsidRDefault="002F5C5E" w:rsidP="001467CC">
      <w:pPr>
        <w:jc w:val="both"/>
        <w:rPr>
          <w:i/>
          <w:color w:val="2E74B5"/>
          <w:szCs w:val="22"/>
        </w:rPr>
      </w:pPr>
    </w:p>
    <w:p w14:paraId="11EC6CC7" w14:textId="77777777" w:rsidR="002F5C5E" w:rsidRPr="009C1143" w:rsidRDefault="002F5C5E" w:rsidP="001467CC">
      <w:pPr>
        <w:jc w:val="both"/>
        <w:rPr>
          <w:szCs w:val="22"/>
        </w:rPr>
      </w:pPr>
      <w:r w:rsidRPr="009C1143">
        <w:rPr>
          <w:i/>
          <w:color w:val="2E74B5"/>
          <w:szCs w:val="22"/>
        </w:rPr>
        <w:t xml:space="preserve"> </w:t>
      </w:r>
      <w:r w:rsidRPr="009C1143">
        <w:rPr>
          <w:szCs w:val="22"/>
        </w:rPr>
        <w:tab/>
      </w:r>
    </w:p>
    <w:p w14:paraId="11EC6CC8" w14:textId="77777777" w:rsidR="002F5C5E" w:rsidRDefault="002F5C5E" w:rsidP="007B7FCF">
      <w:pPr>
        <w:numPr>
          <w:ilvl w:val="0"/>
          <w:numId w:val="8"/>
        </w:numPr>
        <w:jc w:val="both"/>
        <w:rPr>
          <w:b/>
          <w:szCs w:val="22"/>
        </w:rPr>
      </w:pPr>
      <w:r w:rsidRPr="009C1143">
        <w:rPr>
          <w:b/>
          <w:szCs w:val="22"/>
        </w:rPr>
        <w:t xml:space="preserve">BACKGROUND DOCUMENTS </w:t>
      </w:r>
    </w:p>
    <w:p w14:paraId="11EC6CC9" w14:textId="77777777" w:rsidR="008D5169" w:rsidRDefault="008D5169" w:rsidP="001467CC">
      <w:pPr>
        <w:jc w:val="both"/>
        <w:rPr>
          <w:b/>
          <w:szCs w:val="22"/>
        </w:rPr>
      </w:pPr>
    </w:p>
    <w:p w14:paraId="11EC6CCA" w14:textId="77777777" w:rsidR="002B7F15" w:rsidRPr="002B7F15" w:rsidRDefault="002B7F15" w:rsidP="002B7F15">
      <w:pPr>
        <w:numPr>
          <w:ilvl w:val="0"/>
          <w:numId w:val="20"/>
        </w:numPr>
        <w:tabs>
          <w:tab w:val="num" w:pos="360"/>
        </w:tabs>
        <w:jc w:val="both"/>
        <w:rPr>
          <w:rFonts w:cs="Arial"/>
          <w:szCs w:val="22"/>
          <w:lang w:eastAsia="en-US"/>
        </w:rPr>
      </w:pPr>
      <w:r w:rsidRPr="002B7F15">
        <w:rPr>
          <w:rFonts w:cs="Arial"/>
          <w:szCs w:val="22"/>
          <w:lang w:eastAsia="en-US"/>
        </w:rPr>
        <w:t>Accounts and Audit (England) Regulations 2015</w:t>
      </w:r>
    </w:p>
    <w:p w14:paraId="11EC6CCB" w14:textId="77777777" w:rsidR="00C04193" w:rsidRDefault="00F010C1" w:rsidP="00C04193">
      <w:pPr>
        <w:numPr>
          <w:ilvl w:val="0"/>
          <w:numId w:val="20"/>
        </w:numPr>
        <w:rPr>
          <w:rFonts w:cs="Arial"/>
          <w:szCs w:val="22"/>
          <w:lang w:eastAsia="en-US"/>
        </w:rPr>
      </w:pPr>
      <w:r>
        <w:rPr>
          <w:rFonts w:cs="Arial"/>
          <w:szCs w:val="22"/>
          <w:lang w:eastAsia="en-US"/>
        </w:rPr>
        <w:t>CIPFA</w:t>
      </w:r>
      <w:r w:rsidR="00C04193" w:rsidRPr="00C04193">
        <w:rPr>
          <w:rFonts w:cs="Arial"/>
          <w:szCs w:val="22"/>
          <w:lang w:eastAsia="en-US"/>
        </w:rPr>
        <w:t xml:space="preserve"> Code of Practice on Local Authority Accou</w:t>
      </w:r>
      <w:r w:rsidR="00C04193">
        <w:rPr>
          <w:rFonts w:cs="Arial"/>
          <w:szCs w:val="22"/>
          <w:lang w:eastAsia="en-US"/>
        </w:rPr>
        <w:t xml:space="preserve">nting in the United Kingdom </w:t>
      </w:r>
      <w:r w:rsidR="00D547F2">
        <w:rPr>
          <w:rFonts w:cs="Arial"/>
          <w:szCs w:val="22"/>
          <w:lang w:eastAsia="en-US"/>
        </w:rPr>
        <w:t>2018/19</w:t>
      </w:r>
    </w:p>
    <w:p w14:paraId="11EC6CCC" w14:textId="77777777" w:rsidR="009D4510" w:rsidRDefault="00F010C1" w:rsidP="00F010C1">
      <w:pPr>
        <w:numPr>
          <w:ilvl w:val="0"/>
          <w:numId w:val="20"/>
        </w:numPr>
        <w:rPr>
          <w:rFonts w:cs="Arial"/>
          <w:szCs w:val="22"/>
          <w:lang w:eastAsia="en-US"/>
        </w:rPr>
      </w:pPr>
      <w:r>
        <w:rPr>
          <w:rFonts w:cs="Arial"/>
          <w:szCs w:val="22"/>
          <w:lang w:eastAsia="en-US"/>
        </w:rPr>
        <w:t xml:space="preserve">External Audit – </w:t>
      </w:r>
      <w:r w:rsidR="00D547F2">
        <w:rPr>
          <w:rFonts w:cs="Arial"/>
          <w:szCs w:val="22"/>
          <w:lang w:eastAsia="en-US"/>
        </w:rPr>
        <w:t>2017/18</w:t>
      </w:r>
      <w:r>
        <w:rPr>
          <w:rFonts w:cs="Arial"/>
          <w:szCs w:val="22"/>
          <w:lang w:eastAsia="en-US"/>
        </w:rPr>
        <w:t xml:space="preserve"> Audit Findings and Progress Report– R</w:t>
      </w:r>
      <w:r w:rsidR="009D4510">
        <w:rPr>
          <w:rFonts w:cs="Arial"/>
          <w:szCs w:val="22"/>
          <w:lang w:eastAsia="en-US"/>
        </w:rPr>
        <w:t>eport to Governance Committee 26</w:t>
      </w:r>
      <w:r w:rsidR="009D4510" w:rsidRPr="009D4510">
        <w:rPr>
          <w:rFonts w:cs="Arial"/>
          <w:szCs w:val="22"/>
          <w:vertAlign w:val="superscript"/>
          <w:lang w:eastAsia="en-US"/>
        </w:rPr>
        <w:t>th</w:t>
      </w:r>
      <w:r w:rsidR="009D4510">
        <w:rPr>
          <w:rFonts w:cs="Arial"/>
          <w:szCs w:val="22"/>
          <w:lang w:eastAsia="en-US"/>
        </w:rPr>
        <w:t xml:space="preserve"> July 2018</w:t>
      </w:r>
      <w:r>
        <w:rPr>
          <w:rFonts w:cs="Arial"/>
          <w:szCs w:val="22"/>
          <w:lang w:eastAsia="en-US"/>
        </w:rPr>
        <w:t xml:space="preserve"> </w:t>
      </w:r>
    </w:p>
    <w:p w14:paraId="11EC6CCD" w14:textId="77777777" w:rsidR="009D4510" w:rsidRDefault="00533E6C" w:rsidP="009D4510">
      <w:pPr>
        <w:ind w:left="720"/>
        <w:rPr>
          <w:rFonts w:cs="Arial"/>
          <w:szCs w:val="22"/>
          <w:lang w:eastAsia="en-US"/>
        </w:rPr>
      </w:pPr>
      <w:hyperlink r:id="rId9" w:history="1">
        <w:r w:rsidR="009D4510" w:rsidRPr="00993412">
          <w:rPr>
            <w:rStyle w:val="Hyperlink"/>
            <w:rFonts w:cs="Arial"/>
            <w:szCs w:val="22"/>
            <w:lang w:eastAsia="en-US"/>
          </w:rPr>
          <w:t>https://southribble.gov.uk/sites/default/files/South%20Ribble%20Borough%20Council%202017-18%20Audit%20Findings%20Report%20-%20Final%20for%20Governance%20Committee%2026%20July%202018.pdf</w:t>
        </w:r>
      </w:hyperlink>
    </w:p>
    <w:p w14:paraId="11EC6CCE" w14:textId="77777777" w:rsidR="002B7F15" w:rsidRDefault="002B7F15" w:rsidP="002B7F15">
      <w:pPr>
        <w:keepNext/>
        <w:jc w:val="both"/>
        <w:outlineLvl w:val="0"/>
        <w:rPr>
          <w:b/>
        </w:rPr>
      </w:pPr>
    </w:p>
    <w:p w14:paraId="11EC6CCF" w14:textId="77777777" w:rsidR="007B7FCF" w:rsidRPr="002B7F15" w:rsidRDefault="007B7FCF" w:rsidP="002B7F15">
      <w:pPr>
        <w:keepNext/>
        <w:jc w:val="both"/>
        <w:outlineLvl w:val="0"/>
        <w:rPr>
          <w:b/>
        </w:rPr>
      </w:pPr>
    </w:p>
    <w:p w14:paraId="11EC6CD0" w14:textId="77777777" w:rsidR="002B7F15" w:rsidRPr="007B7FCF" w:rsidRDefault="002B7F15" w:rsidP="007B7FCF">
      <w:pPr>
        <w:numPr>
          <w:ilvl w:val="0"/>
          <w:numId w:val="8"/>
        </w:numPr>
        <w:jc w:val="both"/>
        <w:rPr>
          <w:b/>
          <w:szCs w:val="22"/>
        </w:rPr>
      </w:pPr>
      <w:r w:rsidRPr="007B7FCF">
        <w:rPr>
          <w:b/>
          <w:szCs w:val="22"/>
        </w:rPr>
        <w:t>APPENDICES</w:t>
      </w:r>
    </w:p>
    <w:p w14:paraId="11EC6CD1" w14:textId="77777777" w:rsidR="002B7F15" w:rsidRPr="002B7F15" w:rsidRDefault="002B7F15" w:rsidP="002B7F15">
      <w:pPr>
        <w:ind w:left="2160" w:hanging="2160"/>
        <w:jc w:val="both"/>
        <w:rPr>
          <w:rFonts w:cs="Arial"/>
          <w:szCs w:val="22"/>
        </w:rPr>
      </w:pPr>
    </w:p>
    <w:p w14:paraId="11EC6CD2" w14:textId="77777777" w:rsidR="004555FD" w:rsidRDefault="00F010C1" w:rsidP="005935C0">
      <w:pPr>
        <w:tabs>
          <w:tab w:val="left" w:pos="2839"/>
        </w:tabs>
        <w:ind w:left="720"/>
        <w:rPr>
          <w:szCs w:val="22"/>
        </w:rPr>
      </w:pPr>
      <w:r w:rsidRPr="003A2919">
        <w:rPr>
          <w:szCs w:val="22"/>
        </w:rPr>
        <w:t>Appendix A</w:t>
      </w:r>
      <w:r>
        <w:rPr>
          <w:szCs w:val="22"/>
        </w:rPr>
        <w:t xml:space="preserve"> - The Statement of Accounting Policies </w:t>
      </w:r>
      <w:r w:rsidR="00D547F2">
        <w:rPr>
          <w:szCs w:val="22"/>
        </w:rPr>
        <w:t>2018/19</w:t>
      </w:r>
    </w:p>
    <w:p w14:paraId="11EC6CD3" w14:textId="77777777" w:rsidR="001C5E49" w:rsidRDefault="001C5E49" w:rsidP="001467CC">
      <w:pPr>
        <w:tabs>
          <w:tab w:val="left" w:pos="2839"/>
        </w:tabs>
        <w:ind w:left="426" w:hanging="426"/>
        <w:jc w:val="both"/>
        <w:rPr>
          <w:rFonts w:cs="Arial"/>
          <w:color w:val="0070C0"/>
        </w:rPr>
      </w:pPr>
    </w:p>
    <w:p w14:paraId="11EC6CD4" w14:textId="77777777" w:rsidR="007B7FCF" w:rsidRDefault="007B7FCF" w:rsidP="001467CC">
      <w:pPr>
        <w:tabs>
          <w:tab w:val="left" w:pos="2839"/>
        </w:tabs>
        <w:ind w:left="426" w:hanging="426"/>
        <w:jc w:val="both"/>
        <w:rPr>
          <w:rFonts w:cs="Arial"/>
          <w:color w:val="0070C0"/>
        </w:rPr>
      </w:pPr>
    </w:p>
    <w:p w14:paraId="11EC6CD5" w14:textId="77777777" w:rsidR="001C5E49" w:rsidRPr="00F24DBD" w:rsidRDefault="00315D86" w:rsidP="001467CC">
      <w:pPr>
        <w:tabs>
          <w:tab w:val="left" w:pos="2839"/>
        </w:tabs>
        <w:ind w:left="426" w:hanging="426"/>
        <w:jc w:val="both"/>
        <w:rPr>
          <w:rFonts w:cs="Arial"/>
        </w:rPr>
      </w:pPr>
      <w:r>
        <w:rPr>
          <w:rFonts w:cs="Arial"/>
        </w:rPr>
        <w:t xml:space="preserve">SMT </w:t>
      </w:r>
      <w:r w:rsidR="001C5E49" w:rsidRPr="00F24DBD">
        <w:rPr>
          <w:rFonts w:cs="Arial"/>
        </w:rPr>
        <w:t>Member’s Name</w:t>
      </w:r>
      <w:r w:rsidR="00F24DBD" w:rsidRPr="00F24DBD">
        <w:rPr>
          <w:rFonts w:cs="Arial"/>
        </w:rPr>
        <w:t xml:space="preserve">: </w:t>
      </w:r>
      <w:r w:rsidR="00D547F2">
        <w:rPr>
          <w:rFonts w:cs="Arial"/>
        </w:rPr>
        <w:t>Tim Povall</w:t>
      </w:r>
      <w:r w:rsidR="00F24DBD" w:rsidRPr="00F24DBD">
        <w:rPr>
          <w:rFonts w:cs="Arial"/>
        </w:rPr>
        <w:t xml:space="preserve"> </w:t>
      </w:r>
    </w:p>
    <w:p w14:paraId="11EC6CD6" w14:textId="77777777" w:rsidR="001C5E49" w:rsidRPr="00F24DBD" w:rsidRDefault="001C5E49" w:rsidP="00315D86">
      <w:pPr>
        <w:tabs>
          <w:tab w:val="left" w:pos="2839"/>
        </w:tabs>
        <w:rPr>
          <w:rFonts w:cs="Arial"/>
        </w:rPr>
      </w:pPr>
      <w:r w:rsidRPr="00F24DBD">
        <w:rPr>
          <w:rFonts w:cs="Arial"/>
        </w:rPr>
        <w:t>Job Title</w:t>
      </w:r>
      <w:r w:rsidR="0062451B">
        <w:rPr>
          <w:rFonts w:cs="Arial"/>
        </w:rPr>
        <w:t xml:space="preserve">: </w:t>
      </w:r>
      <w:r w:rsidR="00D547F2">
        <w:rPr>
          <w:rFonts w:cs="Arial"/>
        </w:rPr>
        <w:t xml:space="preserve">Deputy Chief Executive , </w:t>
      </w:r>
      <w:r w:rsidR="00315D86">
        <w:rPr>
          <w:rFonts w:cs="Arial"/>
        </w:rPr>
        <w:t xml:space="preserve">Resources &amp; </w:t>
      </w:r>
      <w:r w:rsidR="00D547F2">
        <w:rPr>
          <w:rFonts w:cs="Arial"/>
        </w:rPr>
        <w:t>Transformation (S151 Officer)</w:t>
      </w:r>
    </w:p>
    <w:p w14:paraId="11EC6CD7" w14:textId="77777777" w:rsidR="001C5E49" w:rsidRPr="007F1945" w:rsidRDefault="001C5E49" w:rsidP="001467CC">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1C5E49" w14:paraId="11EC6CDB" w14:textId="77777777" w:rsidTr="00E2196F">
        <w:tc>
          <w:tcPr>
            <w:tcW w:w="5700" w:type="dxa"/>
            <w:shd w:val="clear" w:color="auto" w:fill="auto"/>
          </w:tcPr>
          <w:p w14:paraId="11EC6CD8" w14:textId="77777777" w:rsidR="001C5E49" w:rsidRPr="0031059E" w:rsidRDefault="001C5E49" w:rsidP="001467CC">
            <w:pPr>
              <w:jc w:val="both"/>
              <w:rPr>
                <w:rFonts w:cs="Arial"/>
              </w:rPr>
            </w:pPr>
            <w:r w:rsidRPr="0031059E">
              <w:rPr>
                <w:rFonts w:cs="Arial"/>
              </w:rPr>
              <w:t>Report Author:</w:t>
            </w:r>
          </w:p>
        </w:tc>
        <w:tc>
          <w:tcPr>
            <w:tcW w:w="1559" w:type="dxa"/>
            <w:shd w:val="clear" w:color="auto" w:fill="auto"/>
          </w:tcPr>
          <w:p w14:paraId="11EC6CD9" w14:textId="77777777" w:rsidR="001C5E49" w:rsidRPr="0031059E" w:rsidRDefault="001C5E49" w:rsidP="001467CC">
            <w:pPr>
              <w:jc w:val="both"/>
              <w:rPr>
                <w:rFonts w:cs="Arial"/>
              </w:rPr>
            </w:pPr>
            <w:r w:rsidRPr="0031059E">
              <w:rPr>
                <w:rFonts w:cs="Arial"/>
              </w:rPr>
              <w:t>Telephone:</w:t>
            </w:r>
          </w:p>
        </w:tc>
        <w:tc>
          <w:tcPr>
            <w:tcW w:w="2380" w:type="dxa"/>
            <w:shd w:val="clear" w:color="auto" w:fill="auto"/>
          </w:tcPr>
          <w:p w14:paraId="11EC6CDA" w14:textId="77777777" w:rsidR="001C5E49" w:rsidRPr="0031059E" w:rsidRDefault="001C5E49" w:rsidP="001467CC">
            <w:pPr>
              <w:jc w:val="both"/>
              <w:rPr>
                <w:rFonts w:cs="Arial"/>
              </w:rPr>
            </w:pPr>
            <w:r w:rsidRPr="0031059E">
              <w:rPr>
                <w:rFonts w:cs="Arial"/>
              </w:rPr>
              <w:t>Date:</w:t>
            </w:r>
          </w:p>
        </w:tc>
      </w:tr>
      <w:tr w:rsidR="001C5E49" w14:paraId="11EC6CE0" w14:textId="77777777" w:rsidTr="00E2196F">
        <w:tc>
          <w:tcPr>
            <w:tcW w:w="5700" w:type="dxa"/>
            <w:shd w:val="clear" w:color="auto" w:fill="auto"/>
          </w:tcPr>
          <w:p w14:paraId="11EC6CDC" w14:textId="77777777" w:rsidR="001C5E49" w:rsidRDefault="00D547F2" w:rsidP="001467CC">
            <w:pPr>
              <w:ind w:left="-539" w:firstLine="539"/>
              <w:jc w:val="both"/>
              <w:rPr>
                <w:rFonts w:cs="Arial"/>
              </w:rPr>
            </w:pPr>
            <w:r>
              <w:rPr>
                <w:rFonts w:cs="Arial"/>
              </w:rPr>
              <w:t>Tony Furber</w:t>
            </w:r>
          </w:p>
          <w:p w14:paraId="11EC6CDD" w14:textId="77777777" w:rsidR="00F24DBD" w:rsidRPr="0031059E" w:rsidRDefault="00D547F2" w:rsidP="001467CC">
            <w:pPr>
              <w:ind w:left="-539" w:firstLine="539"/>
              <w:jc w:val="both"/>
              <w:rPr>
                <w:rFonts w:cs="Arial"/>
              </w:rPr>
            </w:pPr>
            <w:r>
              <w:rPr>
                <w:rFonts w:cs="Arial"/>
              </w:rPr>
              <w:t xml:space="preserve">Principal </w:t>
            </w:r>
            <w:r w:rsidR="00FC3332">
              <w:rPr>
                <w:rFonts w:cs="Arial"/>
              </w:rPr>
              <w:t>Financial Accountant</w:t>
            </w:r>
          </w:p>
        </w:tc>
        <w:tc>
          <w:tcPr>
            <w:tcW w:w="1559" w:type="dxa"/>
            <w:shd w:val="clear" w:color="auto" w:fill="auto"/>
          </w:tcPr>
          <w:p w14:paraId="11EC6CDE" w14:textId="77777777" w:rsidR="001C5E49" w:rsidRPr="0031059E" w:rsidRDefault="00D547F2" w:rsidP="001467CC">
            <w:pPr>
              <w:jc w:val="both"/>
              <w:rPr>
                <w:rFonts w:cs="Arial"/>
              </w:rPr>
            </w:pPr>
            <w:r>
              <w:rPr>
                <w:rFonts w:cs="Arial"/>
              </w:rPr>
              <w:t>01257 515376</w:t>
            </w:r>
          </w:p>
        </w:tc>
        <w:tc>
          <w:tcPr>
            <w:tcW w:w="2380" w:type="dxa"/>
            <w:shd w:val="clear" w:color="auto" w:fill="auto"/>
          </w:tcPr>
          <w:p w14:paraId="11EC6CDF" w14:textId="77777777" w:rsidR="001C5E49" w:rsidRPr="0031059E" w:rsidRDefault="00D547F2" w:rsidP="001467CC">
            <w:pPr>
              <w:jc w:val="both"/>
              <w:rPr>
                <w:rFonts w:cs="Arial"/>
              </w:rPr>
            </w:pPr>
            <w:r>
              <w:rPr>
                <w:rFonts w:cs="Arial"/>
              </w:rPr>
              <w:t>28</w:t>
            </w:r>
            <w:r w:rsidR="00B44572">
              <w:rPr>
                <w:rFonts w:cs="Arial"/>
              </w:rPr>
              <w:t xml:space="preserve"> February </w:t>
            </w:r>
            <w:r w:rsidR="00F24DBD">
              <w:rPr>
                <w:rFonts w:cs="Arial"/>
              </w:rPr>
              <w:t>1</w:t>
            </w:r>
            <w:r>
              <w:rPr>
                <w:rFonts w:cs="Arial"/>
              </w:rPr>
              <w:t>9</w:t>
            </w:r>
          </w:p>
        </w:tc>
      </w:tr>
    </w:tbl>
    <w:p w14:paraId="11EC6CE1" w14:textId="77777777" w:rsidR="001C5E49" w:rsidRDefault="001C5E49" w:rsidP="005935C0">
      <w:pPr>
        <w:jc w:val="both"/>
        <w:rPr>
          <w:rFonts w:cs="Arial"/>
        </w:rPr>
      </w:pPr>
    </w:p>
    <w:sectPr w:rsidR="001C5E49"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6CE6" w14:textId="77777777" w:rsidR="009B4D79" w:rsidRDefault="009B4D79">
      <w:r>
        <w:separator/>
      </w:r>
    </w:p>
  </w:endnote>
  <w:endnote w:type="continuationSeparator" w:id="0">
    <w:p w14:paraId="11EC6CE7" w14:textId="77777777" w:rsidR="009B4D79" w:rsidRDefault="009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6CE8"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33E6C">
      <w:rPr>
        <w:noProof/>
        <w:sz w:val="24"/>
      </w:rPr>
      <w:t>4</w:t>
    </w:r>
    <w:r w:rsidRPr="00FD7B65">
      <w:rPr>
        <w:noProof/>
        <w:sz w:val="24"/>
      </w:rPr>
      <w:fldChar w:fldCharType="end"/>
    </w:r>
  </w:p>
  <w:p w14:paraId="11EC6CE9"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C6CE4" w14:textId="77777777" w:rsidR="009B4D79" w:rsidRDefault="009B4D79">
      <w:r>
        <w:separator/>
      </w:r>
    </w:p>
  </w:footnote>
  <w:footnote w:type="continuationSeparator" w:id="0">
    <w:p w14:paraId="11EC6CE5" w14:textId="77777777" w:rsidR="009B4D79" w:rsidRDefault="009B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E6"/>
    <w:multiLevelType w:val="hybridMultilevel"/>
    <w:tmpl w:val="306E6D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CCA"/>
    <w:multiLevelType w:val="hybridMultilevel"/>
    <w:tmpl w:val="97480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442655"/>
    <w:multiLevelType w:val="hybridMultilevel"/>
    <w:tmpl w:val="947A8450"/>
    <w:lvl w:ilvl="0" w:tplc="7432FB96">
      <w:start w:val="1"/>
      <w:numFmt w:val="bullet"/>
      <w:lvlText w:val="►"/>
      <w:lvlJc w:val="left"/>
      <w:pPr>
        <w:tabs>
          <w:tab w:val="num" w:pos="720"/>
        </w:tabs>
        <w:ind w:left="720" w:hanging="360"/>
      </w:pPr>
      <w:rPr>
        <w:rFonts w:ascii="Arial" w:hAnsi="Arial" w:hint="default"/>
      </w:rPr>
    </w:lvl>
    <w:lvl w:ilvl="1" w:tplc="3FD40C02">
      <w:start w:val="1"/>
      <w:numFmt w:val="bullet"/>
      <w:lvlText w:val="►"/>
      <w:lvlJc w:val="left"/>
      <w:pPr>
        <w:tabs>
          <w:tab w:val="num" w:pos="1440"/>
        </w:tabs>
        <w:ind w:left="1440" w:hanging="360"/>
      </w:pPr>
      <w:rPr>
        <w:rFonts w:ascii="Arial" w:hAnsi="Arial" w:hint="default"/>
      </w:rPr>
    </w:lvl>
    <w:lvl w:ilvl="2" w:tplc="F392DCB2" w:tentative="1">
      <w:start w:val="1"/>
      <w:numFmt w:val="bullet"/>
      <w:lvlText w:val="►"/>
      <w:lvlJc w:val="left"/>
      <w:pPr>
        <w:tabs>
          <w:tab w:val="num" w:pos="2160"/>
        </w:tabs>
        <w:ind w:left="2160" w:hanging="360"/>
      </w:pPr>
      <w:rPr>
        <w:rFonts w:ascii="Arial" w:hAnsi="Arial" w:hint="default"/>
      </w:rPr>
    </w:lvl>
    <w:lvl w:ilvl="3" w:tplc="11C4E56C" w:tentative="1">
      <w:start w:val="1"/>
      <w:numFmt w:val="bullet"/>
      <w:lvlText w:val="►"/>
      <w:lvlJc w:val="left"/>
      <w:pPr>
        <w:tabs>
          <w:tab w:val="num" w:pos="2880"/>
        </w:tabs>
        <w:ind w:left="2880" w:hanging="360"/>
      </w:pPr>
      <w:rPr>
        <w:rFonts w:ascii="Arial" w:hAnsi="Arial" w:hint="default"/>
      </w:rPr>
    </w:lvl>
    <w:lvl w:ilvl="4" w:tplc="DE3C4506" w:tentative="1">
      <w:start w:val="1"/>
      <w:numFmt w:val="bullet"/>
      <w:lvlText w:val="►"/>
      <w:lvlJc w:val="left"/>
      <w:pPr>
        <w:tabs>
          <w:tab w:val="num" w:pos="3600"/>
        </w:tabs>
        <w:ind w:left="3600" w:hanging="360"/>
      </w:pPr>
      <w:rPr>
        <w:rFonts w:ascii="Arial" w:hAnsi="Arial" w:hint="default"/>
      </w:rPr>
    </w:lvl>
    <w:lvl w:ilvl="5" w:tplc="8CA4FB9C" w:tentative="1">
      <w:start w:val="1"/>
      <w:numFmt w:val="bullet"/>
      <w:lvlText w:val="►"/>
      <w:lvlJc w:val="left"/>
      <w:pPr>
        <w:tabs>
          <w:tab w:val="num" w:pos="4320"/>
        </w:tabs>
        <w:ind w:left="4320" w:hanging="360"/>
      </w:pPr>
      <w:rPr>
        <w:rFonts w:ascii="Arial" w:hAnsi="Arial" w:hint="default"/>
      </w:rPr>
    </w:lvl>
    <w:lvl w:ilvl="6" w:tplc="205E373A" w:tentative="1">
      <w:start w:val="1"/>
      <w:numFmt w:val="bullet"/>
      <w:lvlText w:val="►"/>
      <w:lvlJc w:val="left"/>
      <w:pPr>
        <w:tabs>
          <w:tab w:val="num" w:pos="5040"/>
        </w:tabs>
        <w:ind w:left="5040" w:hanging="360"/>
      </w:pPr>
      <w:rPr>
        <w:rFonts w:ascii="Arial" w:hAnsi="Arial" w:hint="default"/>
      </w:rPr>
    </w:lvl>
    <w:lvl w:ilvl="7" w:tplc="318E8062" w:tentative="1">
      <w:start w:val="1"/>
      <w:numFmt w:val="bullet"/>
      <w:lvlText w:val="►"/>
      <w:lvlJc w:val="left"/>
      <w:pPr>
        <w:tabs>
          <w:tab w:val="num" w:pos="5760"/>
        </w:tabs>
        <w:ind w:left="5760" w:hanging="360"/>
      </w:pPr>
      <w:rPr>
        <w:rFonts w:ascii="Arial" w:hAnsi="Arial" w:hint="default"/>
      </w:rPr>
    </w:lvl>
    <w:lvl w:ilvl="8" w:tplc="D4486C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D1C2B"/>
    <w:multiLevelType w:val="hybridMultilevel"/>
    <w:tmpl w:val="8C528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404991"/>
    <w:multiLevelType w:val="hybridMultilevel"/>
    <w:tmpl w:val="1832AB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835F29"/>
    <w:multiLevelType w:val="hybridMultilevel"/>
    <w:tmpl w:val="DE4ED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65C2D"/>
    <w:multiLevelType w:val="hybridMultilevel"/>
    <w:tmpl w:val="F8661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2F4DE5"/>
    <w:multiLevelType w:val="hybridMultilevel"/>
    <w:tmpl w:val="FA8A2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624A6"/>
    <w:multiLevelType w:val="hybridMultilevel"/>
    <w:tmpl w:val="64625AC6"/>
    <w:lvl w:ilvl="0" w:tplc="B5FC2120">
      <w:start w:val="1"/>
      <w:numFmt w:val="bullet"/>
      <w:lvlText w:val="►"/>
      <w:lvlJc w:val="left"/>
      <w:pPr>
        <w:tabs>
          <w:tab w:val="num" w:pos="720"/>
        </w:tabs>
        <w:ind w:left="720" w:hanging="360"/>
      </w:pPr>
      <w:rPr>
        <w:rFonts w:ascii="Arial" w:hAnsi="Arial" w:hint="default"/>
      </w:rPr>
    </w:lvl>
    <w:lvl w:ilvl="1" w:tplc="42620C9A">
      <w:start w:val="1"/>
      <w:numFmt w:val="bullet"/>
      <w:lvlText w:val="►"/>
      <w:lvlJc w:val="left"/>
      <w:pPr>
        <w:tabs>
          <w:tab w:val="num" w:pos="1440"/>
        </w:tabs>
        <w:ind w:left="1440" w:hanging="360"/>
      </w:pPr>
      <w:rPr>
        <w:rFonts w:ascii="Arial" w:hAnsi="Arial" w:hint="default"/>
      </w:rPr>
    </w:lvl>
    <w:lvl w:ilvl="2" w:tplc="F17A915A" w:tentative="1">
      <w:start w:val="1"/>
      <w:numFmt w:val="bullet"/>
      <w:lvlText w:val="►"/>
      <w:lvlJc w:val="left"/>
      <w:pPr>
        <w:tabs>
          <w:tab w:val="num" w:pos="2160"/>
        </w:tabs>
        <w:ind w:left="2160" w:hanging="360"/>
      </w:pPr>
      <w:rPr>
        <w:rFonts w:ascii="Arial" w:hAnsi="Arial" w:hint="default"/>
      </w:rPr>
    </w:lvl>
    <w:lvl w:ilvl="3" w:tplc="C8865DBC" w:tentative="1">
      <w:start w:val="1"/>
      <w:numFmt w:val="bullet"/>
      <w:lvlText w:val="►"/>
      <w:lvlJc w:val="left"/>
      <w:pPr>
        <w:tabs>
          <w:tab w:val="num" w:pos="2880"/>
        </w:tabs>
        <w:ind w:left="2880" w:hanging="360"/>
      </w:pPr>
      <w:rPr>
        <w:rFonts w:ascii="Arial" w:hAnsi="Arial" w:hint="default"/>
      </w:rPr>
    </w:lvl>
    <w:lvl w:ilvl="4" w:tplc="8A7E97AC" w:tentative="1">
      <w:start w:val="1"/>
      <w:numFmt w:val="bullet"/>
      <w:lvlText w:val="►"/>
      <w:lvlJc w:val="left"/>
      <w:pPr>
        <w:tabs>
          <w:tab w:val="num" w:pos="3600"/>
        </w:tabs>
        <w:ind w:left="3600" w:hanging="360"/>
      </w:pPr>
      <w:rPr>
        <w:rFonts w:ascii="Arial" w:hAnsi="Arial" w:hint="default"/>
      </w:rPr>
    </w:lvl>
    <w:lvl w:ilvl="5" w:tplc="45E281C8" w:tentative="1">
      <w:start w:val="1"/>
      <w:numFmt w:val="bullet"/>
      <w:lvlText w:val="►"/>
      <w:lvlJc w:val="left"/>
      <w:pPr>
        <w:tabs>
          <w:tab w:val="num" w:pos="4320"/>
        </w:tabs>
        <w:ind w:left="4320" w:hanging="360"/>
      </w:pPr>
      <w:rPr>
        <w:rFonts w:ascii="Arial" w:hAnsi="Arial" w:hint="default"/>
      </w:rPr>
    </w:lvl>
    <w:lvl w:ilvl="6" w:tplc="79541FDC" w:tentative="1">
      <w:start w:val="1"/>
      <w:numFmt w:val="bullet"/>
      <w:lvlText w:val="►"/>
      <w:lvlJc w:val="left"/>
      <w:pPr>
        <w:tabs>
          <w:tab w:val="num" w:pos="5040"/>
        </w:tabs>
        <w:ind w:left="5040" w:hanging="360"/>
      </w:pPr>
      <w:rPr>
        <w:rFonts w:ascii="Arial" w:hAnsi="Arial" w:hint="default"/>
      </w:rPr>
    </w:lvl>
    <w:lvl w:ilvl="7" w:tplc="A38A4EA0" w:tentative="1">
      <w:start w:val="1"/>
      <w:numFmt w:val="bullet"/>
      <w:lvlText w:val="►"/>
      <w:lvlJc w:val="left"/>
      <w:pPr>
        <w:tabs>
          <w:tab w:val="num" w:pos="5760"/>
        </w:tabs>
        <w:ind w:left="5760" w:hanging="360"/>
      </w:pPr>
      <w:rPr>
        <w:rFonts w:ascii="Arial" w:hAnsi="Arial" w:hint="default"/>
      </w:rPr>
    </w:lvl>
    <w:lvl w:ilvl="8" w:tplc="E00E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E42EA5"/>
    <w:multiLevelType w:val="hybridMultilevel"/>
    <w:tmpl w:val="4D24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C83FCF"/>
    <w:multiLevelType w:val="hybridMultilevel"/>
    <w:tmpl w:val="41221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A7615"/>
    <w:multiLevelType w:val="hybridMultilevel"/>
    <w:tmpl w:val="A09AAB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21"/>
  </w:num>
  <w:num w:numId="4">
    <w:abstractNumId w:val="10"/>
  </w:num>
  <w:num w:numId="5">
    <w:abstractNumId w:val="14"/>
  </w:num>
  <w:num w:numId="6">
    <w:abstractNumId w:val="8"/>
  </w:num>
  <w:num w:numId="7">
    <w:abstractNumId w:val="6"/>
  </w:num>
  <w:num w:numId="8">
    <w:abstractNumId w:val="7"/>
  </w:num>
  <w:num w:numId="9">
    <w:abstractNumId w:val="1"/>
  </w:num>
  <w:num w:numId="10">
    <w:abstractNumId w:val="4"/>
  </w:num>
  <w:num w:numId="11">
    <w:abstractNumId w:val="5"/>
  </w:num>
  <w:num w:numId="12">
    <w:abstractNumId w:val="9"/>
  </w:num>
  <w:num w:numId="13">
    <w:abstractNumId w:val="12"/>
  </w:num>
  <w:num w:numId="14">
    <w:abstractNumId w:val="20"/>
  </w:num>
  <w:num w:numId="15">
    <w:abstractNumId w:val="23"/>
  </w:num>
  <w:num w:numId="16">
    <w:abstractNumId w:val="11"/>
  </w:num>
  <w:num w:numId="17">
    <w:abstractNumId w:val="18"/>
  </w:num>
  <w:num w:numId="18">
    <w:abstractNumId w:val="17"/>
  </w:num>
  <w:num w:numId="19">
    <w:abstractNumId w:val="3"/>
  </w:num>
  <w:num w:numId="20">
    <w:abstractNumId w:val="22"/>
  </w:num>
  <w:num w:numId="21">
    <w:abstractNumId w:val="19"/>
  </w:num>
  <w:num w:numId="22">
    <w:abstractNumId w:val="0"/>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A7D"/>
    <w:rsid w:val="00016DD3"/>
    <w:rsid w:val="00025DED"/>
    <w:rsid w:val="0003128F"/>
    <w:rsid w:val="00040039"/>
    <w:rsid w:val="000411A0"/>
    <w:rsid w:val="00044B96"/>
    <w:rsid w:val="000501DD"/>
    <w:rsid w:val="00057C90"/>
    <w:rsid w:val="00066755"/>
    <w:rsid w:val="000A2955"/>
    <w:rsid w:val="000B790E"/>
    <w:rsid w:val="000B7F57"/>
    <w:rsid w:val="000C4A67"/>
    <w:rsid w:val="000E10FE"/>
    <w:rsid w:val="000F2C8A"/>
    <w:rsid w:val="00103903"/>
    <w:rsid w:val="001114AB"/>
    <w:rsid w:val="00136D96"/>
    <w:rsid w:val="001467CC"/>
    <w:rsid w:val="001544DD"/>
    <w:rsid w:val="00184E1D"/>
    <w:rsid w:val="001C5E49"/>
    <w:rsid w:val="001D7B9F"/>
    <w:rsid w:val="001E1B24"/>
    <w:rsid w:val="001E1B68"/>
    <w:rsid w:val="001E2D03"/>
    <w:rsid w:val="001F0CFC"/>
    <w:rsid w:val="001F3F6C"/>
    <w:rsid w:val="0021003E"/>
    <w:rsid w:val="00212EF4"/>
    <w:rsid w:val="002221BD"/>
    <w:rsid w:val="00253320"/>
    <w:rsid w:val="002543F9"/>
    <w:rsid w:val="0025591B"/>
    <w:rsid w:val="002820A5"/>
    <w:rsid w:val="002966B9"/>
    <w:rsid w:val="002A0680"/>
    <w:rsid w:val="002B7F15"/>
    <w:rsid w:val="002E4FF4"/>
    <w:rsid w:val="002F5C5E"/>
    <w:rsid w:val="00314816"/>
    <w:rsid w:val="00315D86"/>
    <w:rsid w:val="00342AB1"/>
    <w:rsid w:val="00345C71"/>
    <w:rsid w:val="00386AAD"/>
    <w:rsid w:val="003902A2"/>
    <w:rsid w:val="003A1B3F"/>
    <w:rsid w:val="003A23D3"/>
    <w:rsid w:val="003A2919"/>
    <w:rsid w:val="003B1E6D"/>
    <w:rsid w:val="003C1538"/>
    <w:rsid w:val="003C36EB"/>
    <w:rsid w:val="003E1639"/>
    <w:rsid w:val="003E33E6"/>
    <w:rsid w:val="003E3B7F"/>
    <w:rsid w:val="003F5603"/>
    <w:rsid w:val="00400824"/>
    <w:rsid w:val="00405D4A"/>
    <w:rsid w:val="004218EA"/>
    <w:rsid w:val="00442C46"/>
    <w:rsid w:val="004555FD"/>
    <w:rsid w:val="004609D0"/>
    <w:rsid w:val="00474DA8"/>
    <w:rsid w:val="0047741D"/>
    <w:rsid w:val="00484828"/>
    <w:rsid w:val="004A45D4"/>
    <w:rsid w:val="004D7260"/>
    <w:rsid w:val="004E17A2"/>
    <w:rsid w:val="004F203F"/>
    <w:rsid w:val="004F23B3"/>
    <w:rsid w:val="005041BB"/>
    <w:rsid w:val="005320E9"/>
    <w:rsid w:val="00533525"/>
    <w:rsid w:val="00533E6C"/>
    <w:rsid w:val="00547120"/>
    <w:rsid w:val="00547481"/>
    <w:rsid w:val="0054767E"/>
    <w:rsid w:val="00571856"/>
    <w:rsid w:val="00576A82"/>
    <w:rsid w:val="005935C0"/>
    <w:rsid w:val="00593CC8"/>
    <w:rsid w:val="005A26AD"/>
    <w:rsid w:val="005B09B5"/>
    <w:rsid w:val="005B0C36"/>
    <w:rsid w:val="005D4F59"/>
    <w:rsid w:val="005E1D64"/>
    <w:rsid w:val="005E6F5B"/>
    <w:rsid w:val="0060374B"/>
    <w:rsid w:val="00616577"/>
    <w:rsid w:val="0062451B"/>
    <w:rsid w:val="00630F86"/>
    <w:rsid w:val="00633396"/>
    <w:rsid w:val="00641B4A"/>
    <w:rsid w:val="00645A0B"/>
    <w:rsid w:val="00646967"/>
    <w:rsid w:val="00651364"/>
    <w:rsid w:val="006531EE"/>
    <w:rsid w:val="006555E6"/>
    <w:rsid w:val="006876CC"/>
    <w:rsid w:val="006879CA"/>
    <w:rsid w:val="006B13F3"/>
    <w:rsid w:val="006B645E"/>
    <w:rsid w:val="006B7116"/>
    <w:rsid w:val="006C04C1"/>
    <w:rsid w:val="006C209A"/>
    <w:rsid w:val="006D5622"/>
    <w:rsid w:val="006E09FB"/>
    <w:rsid w:val="006F1494"/>
    <w:rsid w:val="006F2214"/>
    <w:rsid w:val="006F76A3"/>
    <w:rsid w:val="00707E99"/>
    <w:rsid w:val="00712E3F"/>
    <w:rsid w:val="00725FC0"/>
    <w:rsid w:val="00735683"/>
    <w:rsid w:val="00757C36"/>
    <w:rsid w:val="00767486"/>
    <w:rsid w:val="007935DD"/>
    <w:rsid w:val="007B612C"/>
    <w:rsid w:val="007B7FCF"/>
    <w:rsid w:val="007D1C9E"/>
    <w:rsid w:val="00812229"/>
    <w:rsid w:val="00817FD0"/>
    <w:rsid w:val="00832363"/>
    <w:rsid w:val="0083249B"/>
    <w:rsid w:val="00851B9A"/>
    <w:rsid w:val="00893AD2"/>
    <w:rsid w:val="008A2E50"/>
    <w:rsid w:val="008A2F6B"/>
    <w:rsid w:val="008A42E3"/>
    <w:rsid w:val="008A77AB"/>
    <w:rsid w:val="008B41C5"/>
    <w:rsid w:val="008C3B1A"/>
    <w:rsid w:val="008D5169"/>
    <w:rsid w:val="008D623F"/>
    <w:rsid w:val="008E5E47"/>
    <w:rsid w:val="008F4B91"/>
    <w:rsid w:val="0090542C"/>
    <w:rsid w:val="009350CB"/>
    <w:rsid w:val="00951015"/>
    <w:rsid w:val="00952C31"/>
    <w:rsid w:val="009538AE"/>
    <w:rsid w:val="00976F87"/>
    <w:rsid w:val="00980267"/>
    <w:rsid w:val="00983CD5"/>
    <w:rsid w:val="00992E79"/>
    <w:rsid w:val="009A714A"/>
    <w:rsid w:val="009B4D79"/>
    <w:rsid w:val="009C1143"/>
    <w:rsid w:val="009D4510"/>
    <w:rsid w:val="009E48E0"/>
    <w:rsid w:val="009E7F5A"/>
    <w:rsid w:val="00A1406A"/>
    <w:rsid w:val="00A22426"/>
    <w:rsid w:val="00A22D02"/>
    <w:rsid w:val="00A268A6"/>
    <w:rsid w:val="00A30426"/>
    <w:rsid w:val="00A43FEB"/>
    <w:rsid w:val="00A4702E"/>
    <w:rsid w:val="00A50754"/>
    <w:rsid w:val="00A76482"/>
    <w:rsid w:val="00AA7E2B"/>
    <w:rsid w:val="00AC0F3E"/>
    <w:rsid w:val="00AC4A99"/>
    <w:rsid w:val="00AD3258"/>
    <w:rsid w:val="00AD6613"/>
    <w:rsid w:val="00AD7324"/>
    <w:rsid w:val="00B05FE8"/>
    <w:rsid w:val="00B06720"/>
    <w:rsid w:val="00B1788B"/>
    <w:rsid w:val="00B36135"/>
    <w:rsid w:val="00B443DD"/>
    <w:rsid w:val="00B44572"/>
    <w:rsid w:val="00B51DB8"/>
    <w:rsid w:val="00B57841"/>
    <w:rsid w:val="00B62D79"/>
    <w:rsid w:val="00B70B91"/>
    <w:rsid w:val="00B716F5"/>
    <w:rsid w:val="00B72A06"/>
    <w:rsid w:val="00B766C4"/>
    <w:rsid w:val="00B96DE3"/>
    <w:rsid w:val="00BA2606"/>
    <w:rsid w:val="00BC30D9"/>
    <w:rsid w:val="00BC6635"/>
    <w:rsid w:val="00BE546F"/>
    <w:rsid w:val="00C022F9"/>
    <w:rsid w:val="00C04193"/>
    <w:rsid w:val="00C209E3"/>
    <w:rsid w:val="00C30128"/>
    <w:rsid w:val="00C41F22"/>
    <w:rsid w:val="00C52450"/>
    <w:rsid w:val="00C64ED1"/>
    <w:rsid w:val="00C66BAA"/>
    <w:rsid w:val="00CB32DF"/>
    <w:rsid w:val="00CC3246"/>
    <w:rsid w:val="00CC4E08"/>
    <w:rsid w:val="00CE3DA1"/>
    <w:rsid w:val="00CE4482"/>
    <w:rsid w:val="00CF6B60"/>
    <w:rsid w:val="00D03328"/>
    <w:rsid w:val="00D22C9E"/>
    <w:rsid w:val="00D36638"/>
    <w:rsid w:val="00D37BAE"/>
    <w:rsid w:val="00D547F2"/>
    <w:rsid w:val="00D55466"/>
    <w:rsid w:val="00D772AB"/>
    <w:rsid w:val="00D90A00"/>
    <w:rsid w:val="00D91845"/>
    <w:rsid w:val="00D9371C"/>
    <w:rsid w:val="00DB3FD0"/>
    <w:rsid w:val="00DE5E12"/>
    <w:rsid w:val="00E05B7D"/>
    <w:rsid w:val="00E06917"/>
    <w:rsid w:val="00E1004C"/>
    <w:rsid w:val="00E21708"/>
    <w:rsid w:val="00E2196F"/>
    <w:rsid w:val="00E2276E"/>
    <w:rsid w:val="00E3767E"/>
    <w:rsid w:val="00E41950"/>
    <w:rsid w:val="00E467FE"/>
    <w:rsid w:val="00E569CB"/>
    <w:rsid w:val="00E577A2"/>
    <w:rsid w:val="00E60A53"/>
    <w:rsid w:val="00E733A5"/>
    <w:rsid w:val="00E753EC"/>
    <w:rsid w:val="00E75F02"/>
    <w:rsid w:val="00E771B3"/>
    <w:rsid w:val="00E84459"/>
    <w:rsid w:val="00E971A2"/>
    <w:rsid w:val="00EA15EB"/>
    <w:rsid w:val="00EB2D32"/>
    <w:rsid w:val="00EB7C94"/>
    <w:rsid w:val="00ED257A"/>
    <w:rsid w:val="00F010C1"/>
    <w:rsid w:val="00F24DBD"/>
    <w:rsid w:val="00F3057A"/>
    <w:rsid w:val="00F30E9C"/>
    <w:rsid w:val="00F45B2D"/>
    <w:rsid w:val="00F55E4D"/>
    <w:rsid w:val="00F61752"/>
    <w:rsid w:val="00F67F95"/>
    <w:rsid w:val="00F85FB9"/>
    <w:rsid w:val="00FA6E1F"/>
    <w:rsid w:val="00FB6093"/>
    <w:rsid w:val="00FC3332"/>
    <w:rsid w:val="00FD7B65"/>
    <w:rsid w:val="00FE4521"/>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EC6C44"/>
  <w15:chartTrackingRefBased/>
  <w15:docId w15:val="{2ED1C140-D4DD-49C7-9335-60AF84D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3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Revision">
    <w:name w:val="Revision"/>
    <w:hidden/>
    <w:uiPriority w:val="99"/>
    <w:semiHidden/>
    <w:rsid w:val="00E21708"/>
    <w:rPr>
      <w:rFonts w:ascii="Arial" w:hAnsi="Arial"/>
      <w:sz w:val="22"/>
    </w:rPr>
  </w:style>
  <w:style w:type="character" w:styleId="FollowedHyperlink">
    <w:name w:val="FollowedHyperlink"/>
    <w:basedOn w:val="DefaultParagraphFont"/>
    <w:uiPriority w:val="99"/>
    <w:semiHidden/>
    <w:unhideWhenUsed/>
    <w:rsid w:val="009D4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599395">
      <w:bodyDiv w:val="1"/>
      <w:marLeft w:val="0"/>
      <w:marRight w:val="0"/>
      <w:marTop w:val="0"/>
      <w:marBottom w:val="0"/>
      <w:divBdr>
        <w:top w:val="none" w:sz="0" w:space="0" w:color="auto"/>
        <w:left w:val="none" w:sz="0" w:space="0" w:color="auto"/>
        <w:bottom w:val="none" w:sz="0" w:space="0" w:color="auto"/>
        <w:right w:val="none" w:sz="0" w:space="0" w:color="auto"/>
      </w:divBdr>
    </w:div>
    <w:div w:id="177471793">
      <w:bodyDiv w:val="1"/>
      <w:marLeft w:val="0"/>
      <w:marRight w:val="0"/>
      <w:marTop w:val="0"/>
      <w:marBottom w:val="0"/>
      <w:divBdr>
        <w:top w:val="none" w:sz="0" w:space="0" w:color="auto"/>
        <w:left w:val="none" w:sz="0" w:space="0" w:color="auto"/>
        <w:bottom w:val="none" w:sz="0" w:space="0" w:color="auto"/>
        <w:right w:val="none" w:sz="0" w:space="0" w:color="auto"/>
      </w:divBdr>
      <w:divsChild>
        <w:div w:id="1607536935">
          <w:marLeft w:val="-225"/>
          <w:marRight w:val="-225"/>
          <w:marTop w:val="0"/>
          <w:marBottom w:val="0"/>
          <w:divBdr>
            <w:top w:val="none" w:sz="0" w:space="0" w:color="auto"/>
            <w:left w:val="none" w:sz="0" w:space="0" w:color="auto"/>
            <w:bottom w:val="none" w:sz="0" w:space="0" w:color="auto"/>
            <w:right w:val="none" w:sz="0" w:space="0" w:color="auto"/>
          </w:divBdr>
          <w:divsChild>
            <w:div w:id="1918131849">
              <w:marLeft w:val="0"/>
              <w:marRight w:val="0"/>
              <w:marTop w:val="0"/>
              <w:marBottom w:val="0"/>
              <w:divBdr>
                <w:top w:val="none" w:sz="0" w:space="0" w:color="auto"/>
                <w:left w:val="none" w:sz="0" w:space="0" w:color="auto"/>
                <w:bottom w:val="none" w:sz="0" w:space="0" w:color="auto"/>
                <w:right w:val="none" w:sz="0" w:space="0" w:color="auto"/>
              </w:divBdr>
              <w:divsChild>
                <w:div w:id="487408908">
                  <w:marLeft w:val="0"/>
                  <w:marRight w:val="0"/>
                  <w:marTop w:val="0"/>
                  <w:marBottom w:val="0"/>
                  <w:divBdr>
                    <w:top w:val="none" w:sz="0" w:space="0" w:color="auto"/>
                    <w:left w:val="none" w:sz="0" w:space="0" w:color="auto"/>
                    <w:bottom w:val="none" w:sz="0" w:space="0" w:color="auto"/>
                    <w:right w:val="none" w:sz="0" w:space="0" w:color="auto"/>
                  </w:divBdr>
                  <w:divsChild>
                    <w:div w:id="1710952593">
                      <w:marLeft w:val="0"/>
                      <w:marRight w:val="0"/>
                      <w:marTop w:val="0"/>
                      <w:marBottom w:val="0"/>
                      <w:divBdr>
                        <w:top w:val="none" w:sz="0" w:space="0" w:color="auto"/>
                        <w:left w:val="none" w:sz="0" w:space="0" w:color="auto"/>
                        <w:bottom w:val="none" w:sz="0" w:space="0" w:color="auto"/>
                        <w:right w:val="none" w:sz="0" w:space="0" w:color="auto"/>
                      </w:divBdr>
                      <w:divsChild>
                        <w:div w:id="1583102405">
                          <w:marLeft w:val="0"/>
                          <w:marRight w:val="0"/>
                          <w:marTop w:val="0"/>
                          <w:marBottom w:val="0"/>
                          <w:divBdr>
                            <w:top w:val="none" w:sz="0" w:space="0" w:color="auto"/>
                            <w:left w:val="none" w:sz="0" w:space="0" w:color="auto"/>
                            <w:bottom w:val="none" w:sz="0" w:space="0" w:color="auto"/>
                            <w:right w:val="none" w:sz="0" w:space="0" w:color="auto"/>
                          </w:divBdr>
                          <w:divsChild>
                            <w:div w:id="1668942030">
                              <w:marLeft w:val="0"/>
                              <w:marRight w:val="0"/>
                              <w:marTop w:val="120"/>
                              <w:marBottom w:val="120"/>
                              <w:divBdr>
                                <w:top w:val="none" w:sz="0" w:space="0" w:color="auto"/>
                                <w:left w:val="none" w:sz="0" w:space="0" w:color="auto"/>
                                <w:bottom w:val="none" w:sz="0" w:space="0" w:color="auto"/>
                                <w:right w:val="none" w:sz="0" w:space="0" w:color="auto"/>
                              </w:divBdr>
                              <w:divsChild>
                                <w:div w:id="1385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03025433">
      <w:bodyDiv w:val="1"/>
      <w:marLeft w:val="0"/>
      <w:marRight w:val="0"/>
      <w:marTop w:val="0"/>
      <w:marBottom w:val="0"/>
      <w:divBdr>
        <w:top w:val="none" w:sz="0" w:space="0" w:color="auto"/>
        <w:left w:val="none" w:sz="0" w:space="0" w:color="auto"/>
        <w:bottom w:val="none" w:sz="0" w:space="0" w:color="auto"/>
        <w:right w:val="none" w:sz="0" w:space="0" w:color="auto"/>
      </w:divBdr>
      <w:divsChild>
        <w:div w:id="12919652">
          <w:marLeft w:val="1166"/>
          <w:marRight w:val="0"/>
          <w:marTop w:val="48"/>
          <w:marBottom w:val="0"/>
          <w:divBdr>
            <w:top w:val="none" w:sz="0" w:space="0" w:color="auto"/>
            <w:left w:val="none" w:sz="0" w:space="0" w:color="auto"/>
            <w:bottom w:val="none" w:sz="0" w:space="0" w:color="auto"/>
            <w:right w:val="none" w:sz="0" w:space="0" w:color="auto"/>
          </w:divBdr>
        </w:div>
        <w:div w:id="222065725">
          <w:marLeft w:val="1166"/>
          <w:marRight w:val="0"/>
          <w:marTop w:val="48"/>
          <w:marBottom w:val="0"/>
          <w:divBdr>
            <w:top w:val="none" w:sz="0" w:space="0" w:color="auto"/>
            <w:left w:val="none" w:sz="0" w:space="0" w:color="auto"/>
            <w:bottom w:val="none" w:sz="0" w:space="0" w:color="auto"/>
            <w:right w:val="none" w:sz="0" w:space="0" w:color="auto"/>
          </w:divBdr>
        </w:div>
        <w:div w:id="347145690">
          <w:marLeft w:val="1166"/>
          <w:marRight w:val="0"/>
          <w:marTop w:val="48"/>
          <w:marBottom w:val="0"/>
          <w:divBdr>
            <w:top w:val="none" w:sz="0" w:space="0" w:color="auto"/>
            <w:left w:val="none" w:sz="0" w:space="0" w:color="auto"/>
            <w:bottom w:val="none" w:sz="0" w:space="0" w:color="auto"/>
            <w:right w:val="none" w:sz="0" w:space="0" w:color="auto"/>
          </w:divBdr>
        </w:div>
        <w:div w:id="1406761184">
          <w:marLeft w:val="1166"/>
          <w:marRight w:val="0"/>
          <w:marTop w:val="48"/>
          <w:marBottom w:val="0"/>
          <w:divBdr>
            <w:top w:val="none" w:sz="0" w:space="0" w:color="auto"/>
            <w:left w:val="none" w:sz="0" w:space="0" w:color="auto"/>
            <w:bottom w:val="none" w:sz="0" w:space="0" w:color="auto"/>
            <w:right w:val="none" w:sz="0" w:space="0" w:color="auto"/>
          </w:divBdr>
        </w:div>
        <w:div w:id="1564873889">
          <w:marLeft w:val="1166"/>
          <w:marRight w:val="0"/>
          <w:marTop w:val="48"/>
          <w:marBottom w:val="0"/>
          <w:divBdr>
            <w:top w:val="none" w:sz="0" w:space="0" w:color="auto"/>
            <w:left w:val="none" w:sz="0" w:space="0" w:color="auto"/>
            <w:bottom w:val="none" w:sz="0" w:space="0" w:color="auto"/>
            <w:right w:val="none" w:sz="0" w:space="0" w:color="auto"/>
          </w:divBdr>
        </w:div>
        <w:div w:id="1652060044">
          <w:marLeft w:val="1166"/>
          <w:marRight w:val="0"/>
          <w:marTop w:val="48"/>
          <w:marBottom w:val="0"/>
          <w:divBdr>
            <w:top w:val="none" w:sz="0" w:space="0" w:color="auto"/>
            <w:left w:val="none" w:sz="0" w:space="0" w:color="auto"/>
            <w:bottom w:val="none" w:sz="0" w:space="0" w:color="auto"/>
            <w:right w:val="none" w:sz="0" w:space="0" w:color="auto"/>
          </w:divBdr>
        </w:div>
        <w:div w:id="1703049927">
          <w:marLeft w:val="1166"/>
          <w:marRight w:val="0"/>
          <w:marTop w:val="48"/>
          <w:marBottom w:val="0"/>
          <w:divBdr>
            <w:top w:val="none" w:sz="0" w:space="0" w:color="auto"/>
            <w:left w:val="none" w:sz="0" w:space="0" w:color="auto"/>
            <w:bottom w:val="none" w:sz="0" w:space="0" w:color="auto"/>
            <w:right w:val="none" w:sz="0" w:space="0" w:color="auto"/>
          </w:divBdr>
        </w:div>
        <w:div w:id="2002150652">
          <w:marLeft w:val="1166"/>
          <w:marRight w:val="0"/>
          <w:marTop w:val="48"/>
          <w:marBottom w:val="0"/>
          <w:divBdr>
            <w:top w:val="none" w:sz="0" w:space="0" w:color="auto"/>
            <w:left w:val="none" w:sz="0" w:space="0" w:color="auto"/>
            <w:bottom w:val="none" w:sz="0" w:space="0" w:color="auto"/>
            <w:right w:val="none" w:sz="0" w:space="0" w:color="auto"/>
          </w:divBdr>
        </w:div>
        <w:div w:id="2015842952">
          <w:marLeft w:val="1166"/>
          <w:marRight w:val="0"/>
          <w:marTop w:val="48"/>
          <w:marBottom w:val="0"/>
          <w:divBdr>
            <w:top w:val="none" w:sz="0" w:space="0" w:color="auto"/>
            <w:left w:val="none" w:sz="0" w:space="0" w:color="auto"/>
            <w:bottom w:val="none" w:sz="0" w:space="0" w:color="auto"/>
            <w:right w:val="none" w:sz="0" w:space="0" w:color="auto"/>
          </w:divBdr>
        </w:div>
        <w:div w:id="2031948621">
          <w:marLeft w:val="1166"/>
          <w:marRight w:val="0"/>
          <w:marTop w:val="48"/>
          <w:marBottom w:val="0"/>
          <w:divBdr>
            <w:top w:val="none" w:sz="0" w:space="0" w:color="auto"/>
            <w:left w:val="none" w:sz="0" w:space="0" w:color="auto"/>
            <w:bottom w:val="none" w:sz="0" w:space="0" w:color="auto"/>
            <w:right w:val="none" w:sz="0" w:space="0" w:color="auto"/>
          </w:divBdr>
        </w:div>
      </w:divsChild>
    </w:div>
    <w:div w:id="1428887861">
      <w:bodyDiv w:val="1"/>
      <w:marLeft w:val="0"/>
      <w:marRight w:val="0"/>
      <w:marTop w:val="0"/>
      <w:marBottom w:val="0"/>
      <w:divBdr>
        <w:top w:val="none" w:sz="0" w:space="0" w:color="auto"/>
        <w:left w:val="none" w:sz="0" w:space="0" w:color="auto"/>
        <w:bottom w:val="none" w:sz="0" w:space="0" w:color="auto"/>
        <w:right w:val="none" w:sz="0" w:space="0" w:color="auto"/>
      </w:divBdr>
      <w:divsChild>
        <w:div w:id="142553774">
          <w:marLeft w:val="1166"/>
          <w:marRight w:val="0"/>
          <w:marTop w:val="48"/>
          <w:marBottom w:val="0"/>
          <w:divBdr>
            <w:top w:val="none" w:sz="0" w:space="0" w:color="auto"/>
            <w:left w:val="none" w:sz="0" w:space="0" w:color="auto"/>
            <w:bottom w:val="none" w:sz="0" w:space="0" w:color="auto"/>
            <w:right w:val="none" w:sz="0" w:space="0" w:color="auto"/>
          </w:divBdr>
        </w:div>
        <w:div w:id="207377189">
          <w:marLeft w:val="1166"/>
          <w:marRight w:val="0"/>
          <w:marTop w:val="48"/>
          <w:marBottom w:val="0"/>
          <w:divBdr>
            <w:top w:val="none" w:sz="0" w:space="0" w:color="auto"/>
            <w:left w:val="none" w:sz="0" w:space="0" w:color="auto"/>
            <w:bottom w:val="none" w:sz="0" w:space="0" w:color="auto"/>
            <w:right w:val="none" w:sz="0" w:space="0" w:color="auto"/>
          </w:divBdr>
        </w:div>
        <w:div w:id="1599680392">
          <w:marLeft w:val="1166"/>
          <w:marRight w:val="0"/>
          <w:marTop w:val="48"/>
          <w:marBottom w:val="0"/>
          <w:divBdr>
            <w:top w:val="none" w:sz="0" w:space="0" w:color="auto"/>
            <w:left w:val="none" w:sz="0" w:space="0" w:color="auto"/>
            <w:bottom w:val="none" w:sz="0" w:space="0" w:color="auto"/>
            <w:right w:val="none" w:sz="0" w:space="0" w:color="auto"/>
          </w:divBdr>
        </w:div>
        <w:div w:id="1759981979">
          <w:marLeft w:val="1166"/>
          <w:marRight w:val="0"/>
          <w:marTop w:val="48"/>
          <w:marBottom w:val="0"/>
          <w:divBdr>
            <w:top w:val="none" w:sz="0" w:space="0" w:color="auto"/>
            <w:left w:val="none" w:sz="0" w:space="0" w:color="auto"/>
            <w:bottom w:val="none" w:sz="0" w:space="0" w:color="auto"/>
            <w:right w:val="none" w:sz="0" w:space="0" w:color="auto"/>
          </w:divBdr>
        </w:div>
        <w:div w:id="2041971443">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ribble.gov.uk/sites/default/files/South%20Ribble%20Borough%20Council%202017-18%20Audit%20Findings%20Report%20-%20Final%20for%20Governance%20Committee%2026%20July%20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F4DF-AF93-4374-AB1D-5397DDE0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4</Pages>
  <Words>1111</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3</cp:revision>
  <cp:lastPrinted>2019-02-28T10:29:00Z</cp:lastPrinted>
  <dcterms:created xsi:type="dcterms:W3CDTF">2019-03-05T14:02:00Z</dcterms:created>
  <dcterms:modified xsi:type="dcterms:W3CDTF">2019-03-06T12:24:00Z</dcterms:modified>
</cp:coreProperties>
</file>